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4C3BA3" w14:textId="77777777" w:rsidR="006B5BC9" w:rsidRPr="007433B4" w:rsidRDefault="001334FE" w:rsidP="006B5BC9">
      <w:pPr>
        <w:pStyle w:val="Heading1"/>
        <w:rPr>
          <w:noProof/>
          <w:szCs w:val="24"/>
        </w:rPr>
      </w:pPr>
      <w:r>
        <w:rPr>
          <w:noProof/>
          <w:szCs w:val="24"/>
          <w:lang w:eastAsia="en-GB"/>
        </w:rPr>
        <w:drawing>
          <wp:inline distT="0" distB="0" distL="0" distR="0" wp14:anchorId="14DBB8DA" wp14:editId="4C4F4AC0">
            <wp:extent cx="2146300" cy="1646477"/>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ulipp Logo 1.jpg"/>
                    <pic:cNvPicPr/>
                  </pic:nvPicPr>
                  <pic:blipFill>
                    <a:blip r:embed="rId8">
                      <a:extLst>
                        <a:ext uri="{28A0092B-C50C-407E-A947-70E740481C1C}">
                          <a14:useLocalDpi xmlns:a14="http://schemas.microsoft.com/office/drawing/2010/main" val="0"/>
                        </a:ext>
                      </a:extLst>
                    </a:blip>
                    <a:stretch>
                      <a:fillRect/>
                    </a:stretch>
                  </pic:blipFill>
                  <pic:spPr>
                    <a:xfrm>
                      <a:off x="0" y="0"/>
                      <a:ext cx="2155903" cy="1653843"/>
                    </a:xfrm>
                    <a:prstGeom prst="rect">
                      <a:avLst/>
                    </a:prstGeom>
                  </pic:spPr>
                </pic:pic>
              </a:graphicData>
            </a:graphic>
          </wp:inline>
        </w:drawing>
      </w:r>
    </w:p>
    <w:p w14:paraId="0098BF6D" w14:textId="77777777" w:rsidR="006B5BC9" w:rsidRDefault="006B5BC9" w:rsidP="006B5BC9"/>
    <w:p w14:paraId="7EF45897" w14:textId="1A247DDB" w:rsidR="009A6B2B" w:rsidRPr="00DF3A28" w:rsidRDefault="00DF3A28" w:rsidP="00DF3A28">
      <w:pPr>
        <w:pStyle w:val="Heading1"/>
        <w:rPr>
          <w:rFonts w:cs="Arial"/>
          <w:caps/>
          <w:sz w:val="32"/>
          <w:lang w:eastAsia="zh-CN"/>
        </w:rPr>
      </w:pPr>
      <w:r w:rsidRPr="00DF3A28">
        <w:rPr>
          <w:rFonts w:eastAsia="MS Mincho" w:cs="Arial"/>
          <w:caps/>
          <w:lang w:val="en-US" w:eastAsia="zh-CN"/>
        </w:rPr>
        <w:t xml:space="preserve">Communiqué de Presse </w:t>
      </w:r>
    </w:p>
    <w:p w14:paraId="7EF78832" w14:textId="67052A34" w:rsidR="009A6B2B" w:rsidRPr="00DF3A28" w:rsidRDefault="009A6B2B" w:rsidP="00DF3A28">
      <w:pPr>
        <w:pStyle w:val="Header"/>
        <w:tabs>
          <w:tab w:val="clear" w:pos="4153"/>
          <w:tab w:val="clear" w:pos="8306"/>
        </w:tabs>
        <w:rPr>
          <w:i w:val="0"/>
          <w:sz w:val="28"/>
          <w:u w:val="none"/>
          <w:lang w:val="fr-FR"/>
        </w:rPr>
      </w:pPr>
      <w:bookmarkStart w:id="0" w:name="_Hlk13656443"/>
      <w:r w:rsidRPr="00DF3A28">
        <w:rPr>
          <w:i w:val="0"/>
          <w:sz w:val="28"/>
          <w:u w:val="none"/>
          <w:lang w:val="fr-FR"/>
        </w:rPr>
        <w:t>Press</w:t>
      </w:r>
      <w:bookmarkEnd w:id="0"/>
      <w:r w:rsidR="004E3044">
        <w:rPr>
          <w:i w:val="0"/>
          <w:sz w:val="28"/>
          <w:u w:val="none"/>
          <w:lang w:val="fr-FR"/>
        </w:rPr>
        <w:t xml:space="preserve"> Release</w:t>
      </w:r>
      <w:r w:rsidRPr="00DF3A28">
        <w:rPr>
          <w:i w:val="0"/>
          <w:sz w:val="28"/>
          <w:u w:val="none"/>
          <w:lang w:val="fr-FR"/>
        </w:rPr>
        <w:t xml:space="preserve"> • </w:t>
      </w:r>
      <w:r w:rsidR="004E3044" w:rsidRPr="00DF3A28">
        <w:rPr>
          <w:i w:val="0"/>
          <w:sz w:val="28"/>
          <w:u w:val="none"/>
          <w:lang w:val="fr-FR"/>
        </w:rPr>
        <w:t xml:space="preserve">Pressemitteilung </w:t>
      </w:r>
      <w:r w:rsidR="0057489E" w:rsidRPr="00DF3A28">
        <w:rPr>
          <w:i w:val="0"/>
          <w:sz w:val="28"/>
          <w:u w:val="none"/>
          <w:lang w:val="fr-FR"/>
        </w:rPr>
        <w:t>• Comunicad</w:t>
      </w:r>
      <w:r w:rsidR="00D909CF" w:rsidRPr="00DF3A28">
        <w:rPr>
          <w:i w:val="0"/>
          <w:sz w:val="28"/>
          <w:u w:val="none"/>
          <w:lang w:val="fr-FR"/>
        </w:rPr>
        <w:t xml:space="preserve">o </w:t>
      </w:r>
      <w:r w:rsidR="0057489E" w:rsidRPr="00DF3A28">
        <w:rPr>
          <w:i w:val="0"/>
          <w:sz w:val="28"/>
          <w:u w:val="none"/>
          <w:lang w:val="fr-FR"/>
        </w:rPr>
        <w:t>de Prensa</w:t>
      </w:r>
    </w:p>
    <w:p w14:paraId="7930EEC1" w14:textId="77777777" w:rsidR="006B5BC9" w:rsidRPr="00DF3A28" w:rsidRDefault="006B5BC9" w:rsidP="006B5BC9">
      <w:pPr>
        <w:rPr>
          <w:lang w:val="fr-FR"/>
        </w:rPr>
      </w:pPr>
    </w:p>
    <w:p w14:paraId="65446769" w14:textId="77777777" w:rsidR="00FE48AA" w:rsidRPr="00DF3A28" w:rsidRDefault="00FE48AA" w:rsidP="006B5BC9">
      <w:pPr>
        <w:rPr>
          <w:lang w:val="fr-FR"/>
        </w:rPr>
      </w:pPr>
    </w:p>
    <w:p w14:paraId="0C845FF3" w14:textId="1868651A" w:rsidR="00D960DC" w:rsidRDefault="00D960DC" w:rsidP="00D960DC">
      <w:pPr>
        <w:pStyle w:val="Heading1"/>
        <w:rPr>
          <w:lang w:val="fr-FR"/>
        </w:rPr>
      </w:pPr>
      <w:bookmarkStart w:id="1" w:name="_Hlk7086666"/>
      <w:bookmarkStart w:id="2" w:name="_Hlk13657651"/>
      <w:r w:rsidRPr="00D960DC">
        <w:rPr>
          <w:lang w:val="fr-FR"/>
        </w:rPr>
        <w:t xml:space="preserve">Fructueuse conclusion </w:t>
      </w:r>
      <w:r>
        <w:rPr>
          <w:lang w:val="fr-FR"/>
        </w:rPr>
        <w:t xml:space="preserve">pour le projet Européen </w:t>
      </w:r>
      <w:bookmarkStart w:id="3" w:name="_Hlk13656591"/>
      <w:r w:rsidRPr="00D960DC">
        <w:rPr>
          <w:smallCaps/>
          <w:lang w:val="fr-FR"/>
        </w:rPr>
        <w:t>Tulipp</w:t>
      </w:r>
      <w:bookmarkEnd w:id="3"/>
      <w:r>
        <w:rPr>
          <w:lang w:val="fr-FR"/>
        </w:rPr>
        <w:t>, d’une durée de trois ans, pour le traitement d’images embarquées et les applications de vision</w:t>
      </w:r>
    </w:p>
    <w:bookmarkEnd w:id="2"/>
    <w:p w14:paraId="22F5BDCA" w14:textId="6F6061EB" w:rsidR="00D960DC" w:rsidRPr="00D960DC" w:rsidRDefault="00D960DC" w:rsidP="00D960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lang w:val="fr-FR" w:eastAsia="en-GB"/>
        </w:rPr>
      </w:pPr>
    </w:p>
    <w:p w14:paraId="1A3A9064" w14:textId="77777777" w:rsidR="00D960DC" w:rsidRPr="00D960DC" w:rsidRDefault="00D960DC" w:rsidP="00D960DC">
      <w:pPr>
        <w:rPr>
          <w:lang w:val="fr-FR"/>
        </w:rPr>
      </w:pPr>
    </w:p>
    <w:bookmarkEnd w:id="1"/>
    <w:p w14:paraId="48A18EC4" w14:textId="3139F29A" w:rsidR="00D960DC" w:rsidRDefault="00D960DC" w:rsidP="00D960DC">
      <w:pPr>
        <w:pStyle w:val="HTMLPreformatted"/>
        <w:rPr>
          <w:rFonts w:ascii="Arial" w:hAnsi="Arial" w:cs="Times New Roman"/>
          <w:b/>
          <w:sz w:val="24"/>
          <w:lang w:val="fr-FR" w:eastAsia="en-US"/>
        </w:rPr>
      </w:pPr>
      <w:r w:rsidRPr="00D960DC">
        <w:rPr>
          <w:rFonts w:ascii="Arial" w:hAnsi="Arial" w:cs="Times New Roman"/>
          <w:b/>
          <w:sz w:val="24"/>
          <w:lang w:val="fr-FR" w:eastAsia="en-US"/>
        </w:rPr>
        <w:t>Plateforme de référence complète pour les concepteurs de systèmes basés sur la vision comprenant un kit de développement complet et des cas d’utilisation réels</w:t>
      </w:r>
    </w:p>
    <w:p w14:paraId="171CD1A5" w14:textId="0A8BC9E7" w:rsidR="003E18C3" w:rsidRDefault="003E18C3" w:rsidP="00D960DC">
      <w:pPr>
        <w:pStyle w:val="HTMLPreformatted"/>
        <w:rPr>
          <w:rFonts w:ascii="Arial" w:hAnsi="Arial" w:cs="Times New Roman"/>
          <w:b/>
          <w:sz w:val="24"/>
          <w:lang w:val="fr-FR" w:eastAsia="en-US"/>
        </w:rPr>
      </w:pPr>
    </w:p>
    <w:p w14:paraId="2E49D044" w14:textId="77777777" w:rsidR="003E18C3" w:rsidRDefault="003E18C3" w:rsidP="003E18C3">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3210"/>
        <w:gridCol w:w="3210"/>
      </w:tblGrid>
      <w:tr w:rsidR="003E18C3" w14:paraId="1E28FA45" w14:textId="77777777" w:rsidTr="00BE4A6E">
        <w:tc>
          <w:tcPr>
            <w:tcW w:w="3209" w:type="dxa"/>
          </w:tcPr>
          <w:p w14:paraId="60C7839D" w14:textId="77777777" w:rsidR="003E18C3" w:rsidRDefault="003E18C3" w:rsidP="00BE4A6E">
            <w:pPr>
              <w:rPr>
                <w:b/>
              </w:rPr>
            </w:pPr>
            <w:r>
              <w:rPr>
                <w:b/>
                <w:noProof/>
              </w:rPr>
              <w:drawing>
                <wp:inline distT="0" distB="0" distL="0" distR="0" wp14:anchorId="26408FB5" wp14:editId="15D5E913">
                  <wp:extent cx="1828800" cy="688848"/>
                  <wp:effectExtent l="0" t="0" r="0" b="0"/>
                  <wp:docPr id="2" name="Picture 2" descr="A close up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UL003-1pr.jpg"/>
                          <pic:cNvPicPr/>
                        </pic:nvPicPr>
                        <pic:blipFill>
                          <a:blip r:embed="rId9">
                            <a:extLst>
                              <a:ext uri="{28A0092B-C50C-407E-A947-70E740481C1C}">
                                <a14:useLocalDpi xmlns:a14="http://schemas.microsoft.com/office/drawing/2010/main" val="0"/>
                              </a:ext>
                            </a:extLst>
                          </a:blip>
                          <a:stretch>
                            <a:fillRect/>
                          </a:stretch>
                        </pic:blipFill>
                        <pic:spPr>
                          <a:xfrm>
                            <a:off x="0" y="0"/>
                            <a:ext cx="1828800" cy="688848"/>
                          </a:xfrm>
                          <a:prstGeom prst="rect">
                            <a:avLst/>
                          </a:prstGeom>
                        </pic:spPr>
                      </pic:pic>
                    </a:graphicData>
                  </a:graphic>
                </wp:inline>
              </w:drawing>
            </w:r>
          </w:p>
        </w:tc>
        <w:tc>
          <w:tcPr>
            <w:tcW w:w="3210" w:type="dxa"/>
          </w:tcPr>
          <w:p w14:paraId="6110FFBD" w14:textId="77777777" w:rsidR="003E18C3" w:rsidRDefault="003E18C3" w:rsidP="00BE4A6E">
            <w:pPr>
              <w:rPr>
                <w:b/>
              </w:rPr>
            </w:pPr>
            <w:r>
              <w:rPr>
                <w:b/>
                <w:noProof/>
              </w:rPr>
              <w:drawing>
                <wp:inline distT="0" distB="0" distL="0" distR="0" wp14:anchorId="4A5B3AF8" wp14:editId="28F2175C">
                  <wp:extent cx="1828800" cy="890016"/>
                  <wp:effectExtent l="0" t="0" r="0" b="5715"/>
                  <wp:docPr id="6" name="Picture 6" descr="A group of people posing for a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UL003-2pr.jpg"/>
                          <pic:cNvPicPr/>
                        </pic:nvPicPr>
                        <pic:blipFill>
                          <a:blip r:embed="rId10">
                            <a:extLst>
                              <a:ext uri="{28A0092B-C50C-407E-A947-70E740481C1C}">
                                <a14:useLocalDpi xmlns:a14="http://schemas.microsoft.com/office/drawing/2010/main" val="0"/>
                              </a:ext>
                            </a:extLst>
                          </a:blip>
                          <a:stretch>
                            <a:fillRect/>
                          </a:stretch>
                        </pic:blipFill>
                        <pic:spPr>
                          <a:xfrm>
                            <a:off x="0" y="0"/>
                            <a:ext cx="1828800" cy="890016"/>
                          </a:xfrm>
                          <a:prstGeom prst="rect">
                            <a:avLst/>
                          </a:prstGeom>
                        </pic:spPr>
                      </pic:pic>
                    </a:graphicData>
                  </a:graphic>
                </wp:inline>
              </w:drawing>
            </w:r>
          </w:p>
        </w:tc>
        <w:tc>
          <w:tcPr>
            <w:tcW w:w="3210" w:type="dxa"/>
          </w:tcPr>
          <w:p w14:paraId="642FF077" w14:textId="77777777" w:rsidR="003E18C3" w:rsidRDefault="003E18C3" w:rsidP="00BE4A6E">
            <w:pPr>
              <w:rPr>
                <w:b/>
              </w:rPr>
            </w:pPr>
            <w:r>
              <w:rPr>
                <w:b/>
                <w:noProof/>
              </w:rPr>
              <w:drawing>
                <wp:inline distT="0" distB="0" distL="0" distR="0" wp14:anchorId="6A76E109" wp14:editId="6DA41472">
                  <wp:extent cx="1828800" cy="1371600"/>
                  <wp:effectExtent l="0" t="0" r="0" b="0"/>
                  <wp:docPr id="7" name="Picture 7" descr="A circuit 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UL003-3pr.jpg"/>
                          <pic:cNvPicPr/>
                        </pic:nvPicPr>
                        <pic:blipFill>
                          <a:blip r:embed="rId11">
                            <a:extLst>
                              <a:ext uri="{28A0092B-C50C-407E-A947-70E740481C1C}">
                                <a14:useLocalDpi xmlns:a14="http://schemas.microsoft.com/office/drawing/2010/main" val="0"/>
                              </a:ext>
                            </a:extLst>
                          </a:blip>
                          <a:stretch>
                            <a:fillRect/>
                          </a:stretch>
                        </pic:blipFill>
                        <pic:spPr>
                          <a:xfrm>
                            <a:off x="0" y="0"/>
                            <a:ext cx="1828800" cy="1371600"/>
                          </a:xfrm>
                          <a:prstGeom prst="rect">
                            <a:avLst/>
                          </a:prstGeom>
                        </pic:spPr>
                      </pic:pic>
                    </a:graphicData>
                  </a:graphic>
                </wp:inline>
              </w:drawing>
            </w:r>
          </w:p>
        </w:tc>
      </w:tr>
      <w:tr w:rsidR="003E18C3" w14:paraId="32C40D57" w14:textId="77777777" w:rsidTr="00BE4A6E">
        <w:tc>
          <w:tcPr>
            <w:tcW w:w="3209" w:type="dxa"/>
          </w:tcPr>
          <w:p w14:paraId="2515F845" w14:textId="09C8C64C" w:rsidR="003E18C3" w:rsidRPr="00EF2D2C" w:rsidRDefault="003E18C3" w:rsidP="00BE4A6E">
            <w:pPr>
              <w:rPr>
                <w:bCs/>
                <w:sz w:val="16"/>
                <w:szCs w:val="16"/>
              </w:rPr>
            </w:pPr>
            <w:r w:rsidRPr="003E18C3">
              <w:rPr>
                <w:bCs/>
                <w:sz w:val="16"/>
                <w:szCs w:val="16"/>
              </w:rPr>
              <w:t>Figure 1 Radiographie médicale avant</w:t>
            </w:r>
            <w:r>
              <w:rPr>
                <w:bCs/>
                <w:sz w:val="16"/>
                <w:szCs w:val="16"/>
              </w:rPr>
              <w:t xml:space="preserve"> (</w:t>
            </w:r>
            <w:r>
              <w:rPr>
                <w:rFonts w:cs="Arial"/>
                <w:bCs/>
                <w:sz w:val="16"/>
                <w:szCs w:val="16"/>
              </w:rPr>
              <w:t>à</w:t>
            </w:r>
            <w:r w:rsidRPr="003E18C3">
              <w:rPr>
                <w:bCs/>
                <w:sz w:val="16"/>
                <w:szCs w:val="16"/>
              </w:rPr>
              <w:t xml:space="preserve"> </w:t>
            </w:r>
            <w:r>
              <w:rPr>
                <w:bCs/>
                <w:sz w:val="16"/>
                <w:szCs w:val="16"/>
              </w:rPr>
              <w:t xml:space="preserve">gauche) </w:t>
            </w:r>
            <w:r w:rsidRPr="003E18C3">
              <w:rPr>
                <w:bCs/>
                <w:sz w:val="16"/>
                <w:szCs w:val="16"/>
              </w:rPr>
              <w:t>et après</w:t>
            </w:r>
            <w:r>
              <w:rPr>
                <w:bCs/>
                <w:sz w:val="16"/>
                <w:szCs w:val="16"/>
              </w:rPr>
              <w:t xml:space="preserve"> (</w:t>
            </w:r>
            <w:r>
              <w:rPr>
                <w:rFonts w:cs="Arial"/>
                <w:bCs/>
                <w:sz w:val="16"/>
                <w:szCs w:val="16"/>
              </w:rPr>
              <w:t>à</w:t>
            </w:r>
            <w:r>
              <w:rPr>
                <w:bCs/>
                <w:sz w:val="16"/>
                <w:szCs w:val="16"/>
              </w:rPr>
              <w:t xml:space="preserve"> droite)</w:t>
            </w:r>
            <w:r w:rsidRPr="003E18C3">
              <w:rPr>
                <w:bCs/>
                <w:sz w:val="16"/>
                <w:szCs w:val="16"/>
              </w:rPr>
              <w:t xml:space="preserve"> traitement pour éliminer le bruit du capteur</w:t>
            </w:r>
          </w:p>
        </w:tc>
        <w:tc>
          <w:tcPr>
            <w:tcW w:w="3210" w:type="dxa"/>
          </w:tcPr>
          <w:p w14:paraId="56E22251" w14:textId="65BA811C" w:rsidR="003E18C3" w:rsidRPr="003E18C3" w:rsidRDefault="003E18C3" w:rsidP="00BE4A6E">
            <w:pPr>
              <w:rPr>
                <w:bCs/>
                <w:sz w:val="16"/>
                <w:szCs w:val="16"/>
              </w:rPr>
            </w:pPr>
            <w:r w:rsidRPr="003E18C3">
              <w:rPr>
                <w:bCs/>
                <w:sz w:val="16"/>
                <w:szCs w:val="16"/>
              </w:rPr>
              <w:t xml:space="preserve">Figure 2 L’Equipe </w:t>
            </w:r>
            <w:r w:rsidRPr="003E18C3">
              <w:rPr>
                <w:smallCaps/>
                <w:sz w:val="16"/>
                <w:szCs w:val="16"/>
                <w:lang w:val="fr-FR"/>
              </w:rPr>
              <w:t>Tulipp</w:t>
            </w:r>
            <w:r w:rsidRPr="003E18C3">
              <w:rPr>
                <w:sz w:val="16"/>
                <w:szCs w:val="16"/>
                <w:lang w:val="fr-FR"/>
              </w:rPr>
              <w:t xml:space="preserve"> </w:t>
            </w:r>
            <w:r w:rsidRPr="003E18C3">
              <w:rPr>
                <w:bCs/>
                <w:sz w:val="16"/>
                <w:szCs w:val="16"/>
              </w:rPr>
              <w:t>@ Conférence HiPEAC</w:t>
            </w:r>
            <w:r>
              <w:rPr>
                <w:bCs/>
                <w:sz w:val="16"/>
                <w:szCs w:val="16"/>
              </w:rPr>
              <w:t xml:space="preserve"> 20</w:t>
            </w:r>
            <w:r w:rsidRPr="003E18C3">
              <w:rPr>
                <w:bCs/>
                <w:sz w:val="16"/>
                <w:szCs w:val="16"/>
              </w:rPr>
              <w:t>19</w:t>
            </w:r>
          </w:p>
        </w:tc>
        <w:tc>
          <w:tcPr>
            <w:tcW w:w="3210" w:type="dxa"/>
          </w:tcPr>
          <w:p w14:paraId="3C4B608E" w14:textId="7F6ED46C" w:rsidR="003E18C3" w:rsidRPr="003E18C3" w:rsidRDefault="003E18C3" w:rsidP="00BE4A6E">
            <w:pPr>
              <w:rPr>
                <w:bCs/>
                <w:sz w:val="16"/>
                <w:szCs w:val="16"/>
              </w:rPr>
            </w:pPr>
            <w:r w:rsidRPr="003E18C3">
              <w:rPr>
                <w:bCs/>
                <w:sz w:val="16"/>
                <w:szCs w:val="16"/>
              </w:rPr>
              <w:t xml:space="preserve">Figure 3: Kit de développement </w:t>
            </w:r>
            <w:r w:rsidRPr="003E18C3">
              <w:rPr>
                <w:smallCaps/>
                <w:sz w:val="16"/>
                <w:szCs w:val="16"/>
                <w:lang w:val="fr-FR"/>
              </w:rPr>
              <w:t>Tulipp</w:t>
            </w:r>
            <w:r w:rsidRPr="003E18C3">
              <w:rPr>
                <w:sz w:val="16"/>
                <w:szCs w:val="16"/>
                <w:lang w:val="fr-FR"/>
              </w:rPr>
              <w:t xml:space="preserve"> </w:t>
            </w:r>
            <w:r w:rsidRPr="003E18C3">
              <w:rPr>
                <w:bCs/>
                <w:sz w:val="16"/>
                <w:szCs w:val="16"/>
              </w:rPr>
              <w:t>avec le PDM Lynsyn sur une carte mère PC/104</w:t>
            </w:r>
          </w:p>
        </w:tc>
      </w:tr>
    </w:tbl>
    <w:p w14:paraId="36BDF5A4" w14:textId="77777777" w:rsidR="0035616F" w:rsidRPr="00D960DC" w:rsidRDefault="0035616F">
      <w:pPr>
        <w:rPr>
          <w:b/>
          <w:lang w:val="fr-FR"/>
        </w:rPr>
      </w:pPr>
    </w:p>
    <w:p w14:paraId="33A4DF37" w14:textId="360D2004" w:rsidR="00BC7EF2" w:rsidRPr="00BC7EF2" w:rsidRDefault="001334FE" w:rsidP="00BC7EF2">
      <w:pPr>
        <w:rPr>
          <w:lang w:val="fr-FR"/>
        </w:rPr>
      </w:pPr>
      <w:r w:rsidRPr="00DF3A28">
        <w:rPr>
          <w:b/>
          <w:lang w:val="fr-FR"/>
        </w:rPr>
        <w:t>Palaiseau, France</w:t>
      </w:r>
      <w:r w:rsidR="00F31BE2" w:rsidRPr="00DF3A28">
        <w:rPr>
          <w:b/>
          <w:lang w:val="fr-FR"/>
        </w:rPr>
        <w:t xml:space="preserve"> </w:t>
      </w:r>
      <w:r w:rsidR="003E18C3">
        <w:rPr>
          <w:b/>
          <w:lang w:val="fr-FR"/>
        </w:rPr>
        <w:t>–</w:t>
      </w:r>
      <w:r w:rsidR="00B9535A" w:rsidRPr="00DF3A28">
        <w:rPr>
          <w:b/>
          <w:lang w:val="fr-FR"/>
        </w:rPr>
        <w:t xml:space="preserve"> </w:t>
      </w:r>
      <w:r w:rsidR="003E18C3">
        <w:rPr>
          <w:b/>
          <w:lang w:val="fr-FR"/>
        </w:rPr>
        <w:t>11 juillet</w:t>
      </w:r>
      <w:r w:rsidR="00B9535A" w:rsidRPr="00DF3A28">
        <w:rPr>
          <w:b/>
          <w:lang w:val="fr-FR"/>
        </w:rPr>
        <w:t xml:space="preserve"> 20</w:t>
      </w:r>
      <w:r w:rsidR="004E1A3A" w:rsidRPr="00DF3A28">
        <w:rPr>
          <w:b/>
          <w:lang w:val="fr-FR"/>
        </w:rPr>
        <w:t>1</w:t>
      </w:r>
      <w:r w:rsidR="00D85648" w:rsidRPr="00DF3A28">
        <w:rPr>
          <w:b/>
          <w:lang w:val="fr-FR"/>
        </w:rPr>
        <w:t>9</w:t>
      </w:r>
      <w:r w:rsidR="005F7205" w:rsidRPr="00DF3A28">
        <w:rPr>
          <w:b/>
          <w:lang w:val="fr-FR"/>
        </w:rPr>
        <w:t>.</w:t>
      </w:r>
      <w:r w:rsidR="003A523E" w:rsidRPr="00DF3A28">
        <w:rPr>
          <w:lang w:val="fr-FR"/>
        </w:rPr>
        <w:t xml:space="preserve"> </w:t>
      </w:r>
      <w:r w:rsidR="00BC7EF2" w:rsidRPr="00BC7EF2">
        <w:rPr>
          <w:lang w:val="fr-FR"/>
        </w:rPr>
        <w:t>Le consortium</w:t>
      </w:r>
      <w:r w:rsidR="00BC7EF2">
        <w:rPr>
          <w:lang w:val="fr-FR"/>
        </w:rPr>
        <w:t xml:space="preserve">  du projet</w:t>
      </w:r>
      <w:r w:rsidR="00BC7EF2" w:rsidRPr="00BC7EF2">
        <w:rPr>
          <w:lang w:val="fr-FR"/>
        </w:rPr>
        <w:t xml:space="preserve"> </w:t>
      </w:r>
      <w:r w:rsidR="00BC7EF2" w:rsidRPr="00BC7EF2">
        <w:rPr>
          <w:smallCaps/>
          <w:lang w:val="fr-FR"/>
        </w:rPr>
        <w:t>Tulipp</w:t>
      </w:r>
      <w:r w:rsidR="00BC7EF2" w:rsidRPr="00BC7EF2">
        <w:rPr>
          <w:lang w:val="fr-FR"/>
        </w:rPr>
        <w:t xml:space="preserve"> (Towards Ubiquitous Low-power Image Processing Platforms) a annoncé que le projet </w:t>
      </w:r>
      <w:r w:rsidR="00BC7EF2">
        <w:rPr>
          <w:lang w:val="fr-FR"/>
        </w:rPr>
        <w:t>européen de trois ans</w:t>
      </w:r>
      <w:r w:rsidR="00BC7EF2" w:rsidRPr="00BC7EF2">
        <w:rPr>
          <w:lang w:val="fr-FR"/>
        </w:rPr>
        <w:t xml:space="preserve"> avait été mené à bien. À compter de janvier 2016, le projet </w:t>
      </w:r>
      <w:r w:rsidR="00BC7EF2" w:rsidRPr="00BC7EF2">
        <w:rPr>
          <w:smallCaps/>
          <w:lang w:val="fr-FR"/>
        </w:rPr>
        <w:t>Tulipp</w:t>
      </w:r>
      <w:r w:rsidR="00BC7EF2" w:rsidRPr="00BC7EF2">
        <w:rPr>
          <w:lang w:val="fr-FR"/>
        </w:rPr>
        <w:t xml:space="preserve"> </w:t>
      </w:r>
      <w:r w:rsidR="00BC7EF2">
        <w:rPr>
          <w:lang w:val="fr-FR"/>
        </w:rPr>
        <w:t xml:space="preserve">visait l’amélioration du </w:t>
      </w:r>
      <w:r w:rsidR="00BC7EF2" w:rsidRPr="00BC7EF2">
        <w:rPr>
          <w:lang w:val="fr-FR"/>
        </w:rPr>
        <w:t>développement de systèmes à hautes</w:t>
      </w:r>
      <w:r w:rsidR="00BC7EF2">
        <w:rPr>
          <w:lang w:val="fr-FR"/>
        </w:rPr>
        <w:t xml:space="preserve"> </w:t>
      </w:r>
      <w:r w:rsidR="00BC7EF2" w:rsidRPr="00BC7EF2">
        <w:rPr>
          <w:lang w:val="fr-FR"/>
        </w:rPr>
        <w:t>performanc</w:t>
      </w:r>
      <w:r w:rsidR="00BC7EF2">
        <w:rPr>
          <w:lang w:val="fr-FR"/>
        </w:rPr>
        <w:t xml:space="preserve">es et à haut </w:t>
      </w:r>
      <w:r w:rsidR="00BC7EF2" w:rsidRPr="00BC7EF2">
        <w:rPr>
          <w:lang w:val="fr-FR"/>
        </w:rPr>
        <w:t xml:space="preserve">rendement énergétique pour la gamme croissante d'applications de traitement d'images complexes et basées sur la vision. Le projet </w:t>
      </w:r>
      <w:r w:rsidR="00BC7EF2" w:rsidRPr="00BC7EF2">
        <w:rPr>
          <w:smallCaps/>
          <w:lang w:val="fr-FR"/>
        </w:rPr>
        <w:t>Tulipp</w:t>
      </w:r>
      <w:r w:rsidR="00BC7EF2" w:rsidRPr="00BC7EF2">
        <w:rPr>
          <w:lang w:val="fr-FR"/>
        </w:rPr>
        <w:t xml:space="preserve"> a été financé à hauteur de près de 4 millions d’euros par Horizon 2020, le plus important programme de recherche et d’innovation de l’Union européenne à ce jour.</w:t>
      </w:r>
    </w:p>
    <w:p w14:paraId="54090762" w14:textId="796D14AA" w:rsidR="00791462" w:rsidRPr="00DF3A28" w:rsidRDefault="00791462">
      <w:pPr>
        <w:rPr>
          <w:lang w:val="fr-FR"/>
        </w:rPr>
      </w:pPr>
    </w:p>
    <w:p w14:paraId="46AA4C9F" w14:textId="77777777" w:rsidR="00BC7EF2" w:rsidRDefault="00BC7EF2" w:rsidP="00BC7EF2">
      <w:pPr>
        <w:rPr>
          <w:lang w:val="fr-FR"/>
        </w:rPr>
      </w:pPr>
      <w:r w:rsidRPr="00BC7EF2">
        <w:rPr>
          <w:lang w:val="fr-FR"/>
        </w:rPr>
        <w:t xml:space="preserve">La conclusion du projet </w:t>
      </w:r>
      <w:r w:rsidRPr="00BC7EF2">
        <w:rPr>
          <w:smallCaps/>
          <w:lang w:val="fr-FR"/>
        </w:rPr>
        <w:t>Tulipp</w:t>
      </w:r>
      <w:r w:rsidRPr="00BC7EF2">
        <w:rPr>
          <w:lang w:val="fr-FR"/>
        </w:rPr>
        <w:t xml:space="preserve"> voit la publication d'une plate-forme de référence complète pour les concepteurs de systèmes intégrés basés sur la vision, permettant aux concepteurs de produits de vision par ordinateur de relever </w:t>
      </w:r>
      <w:r>
        <w:rPr>
          <w:lang w:val="fr-FR"/>
        </w:rPr>
        <w:t xml:space="preserve">plus </w:t>
      </w:r>
      <w:r w:rsidRPr="00BC7EF2">
        <w:rPr>
          <w:lang w:val="fr-FR"/>
        </w:rPr>
        <w:t>facilement les défis combinés de la faible consommation, de la faible latence, des performances élevées et des contraintes de conception du traite</w:t>
      </w:r>
      <w:r>
        <w:rPr>
          <w:lang w:val="fr-FR"/>
        </w:rPr>
        <w:t>ment des images en temps réel.</w:t>
      </w:r>
      <w:r w:rsidRPr="00BC7EF2">
        <w:rPr>
          <w:lang w:val="fr-FR"/>
        </w:rPr>
        <w:t xml:space="preserve"> </w:t>
      </w:r>
    </w:p>
    <w:p w14:paraId="13EBEEAA" w14:textId="77777777" w:rsidR="00BC7EF2" w:rsidRDefault="00BC7EF2" w:rsidP="00BC7EF2">
      <w:pPr>
        <w:rPr>
          <w:lang w:val="fr-FR"/>
        </w:rPr>
      </w:pPr>
    </w:p>
    <w:p w14:paraId="0C648FCC" w14:textId="05F0754F" w:rsidR="00BC7EF2" w:rsidRPr="00BC7EF2" w:rsidRDefault="00BC7EF2" w:rsidP="00013350">
      <w:pPr>
        <w:rPr>
          <w:lang w:val="fr-FR"/>
        </w:rPr>
      </w:pPr>
      <w:r w:rsidRPr="00BC7EF2">
        <w:rPr>
          <w:lang w:val="fr-FR"/>
        </w:rPr>
        <w:t xml:space="preserve">La plate-forme de référence </w:t>
      </w:r>
      <w:r w:rsidRPr="00BC7EF2">
        <w:rPr>
          <w:smallCaps/>
          <w:lang w:val="fr-FR"/>
        </w:rPr>
        <w:t>Tulipp</w:t>
      </w:r>
      <w:r w:rsidRPr="00BC7EF2">
        <w:rPr>
          <w:lang w:val="fr-FR"/>
        </w:rPr>
        <w:t xml:space="preserve"> comprend un kit de développement complet, </w:t>
      </w:r>
      <w:r>
        <w:rPr>
          <w:lang w:val="fr-FR"/>
        </w:rPr>
        <w:t xml:space="preserve">avec </w:t>
      </w:r>
      <w:r w:rsidRPr="00BC7EF2">
        <w:rPr>
          <w:lang w:val="fr-FR"/>
        </w:rPr>
        <w:t>une ca</w:t>
      </w:r>
      <w:r>
        <w:rPr>
          <w:lang w:val="fr-FR"/>
        </w:rPr>
        <w:t xml:space="preserve">rte de calcul </w:t>
      </w:r>
      <w:r w:rsidRPr="00BC7EF2">
        <w:rPr>
          <w:lang w:val="fr-FR"/>
        </w:rPr>
        <w:t xml:space="preserve">basée sur </w:t>
      </w:r>
      <w:r>
        <w:rPr>
          <w:lang w:val="fr-FR"/>
        </w:rPr>
        <w:t xml:space="preserve">un circuit multicœur et </w:t>
      </w:r>
      <w:r w:rsidRPr="00BC7EF2">
        <w:rPr>
          <w:lang w:val="fr-FR"/>
        </w:rPr>
        <w:t xml:space="preserve">FPGA, un système d’exploitation temps réel </w:t>
      </w:r>
      <w:r>
        <w:rPr>
          <w:lang w:val="fr-FR"/>
        </w:rPr>
        <w:t xml:space="preserve">et </w:t>
      </w:r>
      <w:r w:rsidRPr="00BC7EF2">
        <w:rPr>
          <w:lang w:val="fr-FR"/>
        </w:rPr>
        <w:t>parallèle et une chaîne d’outils de développement avec des lignes directrices, ainsi que des cas d'utilisation «</w:t>
      </w:r>
      <w:r>
        <w:rPr>
          <w:lang w:val="fr-FR"/>
        </w:rPr>
        <w:t xml:space="preserve">de la vie </w:t>
      </w:r>
      <w:r w:rsidRPr="00BC7EF2">
        <w:rPr>
          <w:lang w:val="fr-FR"/>
        </w:rPr>
        <w:t>réel</w:t>
      </w:r>
      <w:r>
        <w:rPr>
          <w:lang w:val="fr-FR"/>
        </w:rPr>
        <w:t>le</w:t>
      </w:r>
      <w:r w:rsidRPr="00BC7EF2">
        <w:rPr>
          <w:lang w:val="fr-FR"/>
        </w:rPr>
        <w:t>» axés sur diverses applications telles que l'imagerie médical</w:t>
      </w:r>
      <w:r>
        <w:rPr>
          <w:lang w:val="fr-FR"/>
        </w:rPr>
        <w:t xml:space="preserve">e </w:t>
      </w:r>
      <w:r w:rsidRPr="00BC7EF2">
        <w:rPr>
          <w:lang w:val="fr-FR"/>
        </w:rPr>
        <w:t>rayons</w:t>
      </w:r>
      <w:r>
        <w:rPr>
          <w:lang w:val="fr-FR"/>
        </w:rPr>
        <w:t xml:space="preserve"> x</w:t>
      </w:r>
      <w:r w:rsidR="00013350">
        <w:rPr>
          <w:lang w:val="fr-FR"/>
        </w:rPr>
        <w:t>, l'assistance à la</w:t>
      </w:r>
      <w:r w:rsidRPr="00BC7EF2">
        <w:rPr>
          <w:lang w:val="fr-FR"/>
        </w:rPr>
        <w:t xml:space="preserve"> condu</w:t>
      </w:r>
      <w:r w:rsidR="00013350">
        <w:rPr>
          <w:lang w:val="fr-FR"/>
        </w:rPr>
        <w:t>ite</w:t>
      </w:r>
      <w:r w:rsidRPr="00BC7EF2">
        <w:rPr>
          <w:lang w:val="fr-FR"/>
        </w:rPr>
        <w:t xml:space="preserve"> et les drones autonomes </w:t>
      </w:r>
      <w:r w:rsidR="00013350">
        <w:rPr>
          <w:lang w:val="fr-FR"/>
        </w:rPr>
        <w:t>avec l’</w:t>
      </w:r>
      <w:r w:rsidRPr="00BC7EF2">
        <w:rPr>
          <w:lang w:val="fr-FR"/>
        </w:rPr>
        <w:t>évite</w:t>
      </w:r>
      <w:r w:rsidR="00013350">
        <w:rPr>
          <w:lang w:val="fr-FR"/>
        </w:rPr>
        <w:t>ment d’o</w:t>
      </w:r>
      <w:r w:rsidRPr="00BC7EF2">
        <w:rPr>
          <w:lang w:val="fr-FR"/>
        </w:rPr>
        <w:t xml:space="preserve">bstacles. L'écosystème complet de </w:t>
      </w:r>
      <w:r w:rsidRPr="00BC7EF2">
        <w:rPr>
          <w:smallCaps/>
          <w:lang w:val="fr-FR"/>
        </w:rPr>
        <w:t>Tulipp</w:t>
      </w:r>
      <w:r w:rsidRPr="00BC7EF2">
        <w:rPr>
          <w:lang w:val="fr-FR"/>
        </w:rPr>
        <w:t xml:space="preserve"> a été présenté plus tôt dans l'année aux concepteurs de systèmes basés sur la vision dans une série de </w:t>
      </w:r>
      <w:r w:rsidR="00013350">
        <w:rPr>
          <w:lang w:val="fr-FR"/>
        </w:rPr>
        <w:t>tutoriels</w:t>
      </w:r>
      <w:r w:rsidRPr="00BC7EF2">
        <w:rPr>
          <w:lang w:val="fr-FR"/>
        </w:rPr>
        <w:t>.</w:t>
      </w:r>
    </w:p>
    <w:p w14:paraId="19C89D4B" w14:textId="77777777" w:rsidR="00BC7EF2" w:rsidRPr="00BC7EF2" w:rsidRDefault="00BC7EF2">
      <w:pPr>
        <w:rPr>
          <w:lang w:val="fr-FR"/>
        </w:rPr>
      </w:pPr>
    </w:p>
    <w:p w14:paraId="32BA8D9B" w14:textId="5A85BA93" w:rsidR="00013350" w:rsidRPr="00013350" w:rsidRDefault="00013350" w:rsidP="00013350">
      <w:pPr>
        <w:rPr>
          <w:lang w:val="fr-FR"/>
        </w:rPr>
      </w:pPr>
      <w:r w:rsidRPr="00013350">
        <w:rPr>
          <w:lang w:val="fr-FR"/>
        </w:rPr>
        <w:t xml:space="preserve">"Le projet </w:t>
      </w:r>
      <w:r w:rsidRPr="00013350">
        <w:rPr>
          <w:smallCaps/>
          <w:lang w:val="fr-FR"/>
        </w:rPr>
        <w:t>Tulipp</w:t>
      </w:r>
      <w:r w:rsidRPr="00013350">
        <w:rPr>
          <w:lang w:val="fr-FR"/>
        </w:rPr>
        <w:t xml:space="preserve"> a atteint tous ses objectifs", a déclaré Philippe Millet de Thales et coordinateur du projet </w:t>
      </w:r>
      <w:r w:rsidRPr="00013350">
        <w:rPr>
          <w:smallCaps/>
          <w:lang w:val="fr-FR"/>
        </w:rPr>
        <w:t>Tulipp</w:t>
      </w:r>
      <w:r w:rsidRPr="00013350">
        <w:rPr>
          <w:lang w:val="fr-FR"/>
        </w:rPr>
        <w:t xml:space="preserve">. «En prenant </w:t>
      </w:r>
      <w:r>
        <w:rPr>
          <w:lang w:val="fr-FR"/>
        </w:rPr>
        <w:t xml:space="preserve">un large spectre de </w:t>
      </w:r>
      <w:r w:rsidRPr="00013350">
        <w:rPr>
          <w:lang w:val="fr-FR"/>
        </w:rPr>
        <w:t>domaine</w:t>
      </w:r>
      <w:r>
        <w:rPr>
          <w:lang w:val="fr-FR"/>
        </w:rPr>
        <w:t>s</w:t>
      </w:r>
      <w:r w:rsidRPr="00013350">
        <w:rPr>
          <w:lang w:val="fr-FR"/>
        </w:rPr>
        <w:t xml:space="preserve"> d'application</w:t>
      </w:r>
      <w:r>
        <w:rPr>
          <w:lang w:val="fr-FR"/>
        </w:rPr>
        <w:t>s</w:t>
      </w:r>
      <w:r w:rsidRPr="00013350">
        <w:rPr>
          <w:lang w:val="fr-FR"/>
        </w:rPr>
        <w:t xml:space="preserve"> pour définir une plate-forme de </w:t>
      </w:r>
      <w:r>
        <w:rPr>
          <w:lang w:val="fr-FR"/>
        </w:rPr>
        <w:t>traitement de référence capturant</w:t>
      </w:r>
      <w:r w:rsidRPr="00013350">
        <w:rPr>
          <w:lang w:val="fr-FR"/>
        </w:rPr>
        <w:t xml:space="preserve"> le caractère commun d'applications de traitement d'images et de vision haute performance </w:t>
      </w:r>
      <w:r>
        <w:rPr>
          <w:lang w:val="fr-FR"/>
        </w:rPr>
        <w:t xml:space="preserve">et </w:t>
      </w:r>
      <w:r w:rsidRPr="00013350">
        <w:rPr>
          <w:lang w:val="fr-FR"/>
        </w:rPr>
        <w:t xml:space="preserve">temps réel, </w:t>
      </w:r>
      <w:r>
        <w:rPr>
          <w:lang w:val="fr-FR"/>
        </w:rPr>
        <w:t xml:space="preserve">cela nous </w:t>
      </w:r>
      <w:r w:rsidRPr="00013350">
        <w:rPr>
          <w:lang w:val="fr-FR"/>
        </w:rPr>
        <w:t xml:space="preserve">a permis de relever avec succès les défis fondamentaux auxquels sont </w:t>
      </w:r>
      <w:r w:rsidRPr="00013350">
        <w:rPr>
          <w:lang w:val="fr-FR"/>
        </w:rPr>
        <w:lastRenderedPageBreak/>
        <w:t>confrontés les concepteurs de systèmes de vision embarqués actuels. "</w:t>
      </w:r>
    </w:p>
    <w:p w14:paraId="40774371" w14:textId="77777777" w:rsidR="00013350" w:rsidRPr="00013350" w:rsidRDefault="00013350">
      <w:pPr>
        <w:rPr>
          <w:lang w:val="fr-FR"/>
        </w:rPr>
      </w:pPr>
    </w:p>
    <w:p w14:paraId="35FBB9EC" w14:textId="144A52C7" w:rsidR="00013350" w:rsidRPr="00013350" w:rsidRDefault="00013350" w:rsidP="00013350">
      <w:pPr>
        <w:rPr>
          <w:lang w:val="fr-FR"/>
        </w:rPr>
      </w:pPr>
      <w:r w:rsidRPr="00013350">
        <w:rPr>
          <w:lang w:val="fr-FR"/>
        </w:rPr>
        <w:t xml:space="preserve">Développé par Sundance Multiprocessor Technology, chaque instance de la plate-forme de traitement </w:t>
      </w:r>
      <w:r w:rsidRPr="00013350">
        <w:rPr>
          <w:smallCaps/>
          <w:lang w:val="fr-FR"/>
        </w:rPr>
        <w:t>Tulipp</w:t>
      </w:r>
      <w:r w:rsidRPr="00013350">
        <w:rPr>
          <w:lang w:val="fr-FR"/>
        </w:rPr>
        <w:t xml:space="preserve"> mesure 40 </w:t>
      </w:r>
      <w:r>
        <w:rPr>
          <w:lang w:val="fr-FR"/>
        </w:rPr>
        <w:t xml:space="preserve">mm x 50 mm et est conforme à au standard </w:t>
      </w:r>
      <w:r w:rsidRPr="00013350">
        <w:rPr>
          <w:lang w:val="fr-FR"/>
        </w:rPr>
        <w:t>de carte processeur PC / 104. La plate-forme matérielle utilise le puissant processeur m</w:t>
      </w:r>
      <w:r>
        <w:rPr>
          <w:lang w:val="fr-FR"/>
        </w:rPr>
        <w:t>ulticœur Xilinx Zynq Ultrascale</w:t>
      </w:r>
      <w:r w:rsidRPr="00013350">
        <w:rPr>
          <w:lang w:val="fr-FR"/>
        </w:rPr>
        <w:t xml:space="preserve">+ MPSoC, qui </w:t>
      </w:r>
      <w:r>
        <w:rPr>
          <w:lang w:val="fr-FR"/>
        </w:rPr>
        <w:t>contient, avec le Xilinx FinFET</w:t>
      </w:r>
      <w:r w:rsidRPr="00013350">
        <w:rPr>
          <w:lang w:val="fr-FR"/>
        </w:rPr>
        <w:t>+ FPGA, un processeur quad-core ARM Cortex-A53, une unité de traitement graphique (GPU) ARM Mali-400 MP2, et un</w:t>
      </w:r>
      <w:r>
        <w:rPr>
          <w:lang w:val="fr-FR"/>
        </w:rPr>
        <w:t xml:space="preserve">e unité de </w:t>
      </w:r>
      <w:r w:rsidRPr="00013350">
        <w:rPr>
          <w:lang w:val="fr-FR"/>
        </w:rPr>
        <w:t xml:space="preserve">traitement </w:t>
      </w:r>
      <w:r>
        <w:rPr>
          <w:lang w:val="fr-FR"/>
        </w:rPr>
        <w:t>temps-</w:t>
      </w:r>
      <w:r w:rsidRPr="00013350">
        <w:rPr>
          <w:lang w:val="fr-FR"/>
        </w:rPr>
        <w:t>réel (RPU) contenant un processeur temps réel 32 bits ARM Cortex-R5 double cœur basé sur l’architecture ARM-v7R. Un module d’extension séparé (VITA57.1 FMC) permet de créer des cartes spécifiques à l’application avec différents types d’interfaces d’entrée</w:t>
      </w:r>
      <w:r>
        <w:rPr>
          <w:lang w:val="fr-FR"/>
        </w:rPr>
        <w:t xml:space="preserve">s </w:t>
      </w:r>
      <w:r w:rsidRPr="00013350">
        <w:rPr>
          <w:lang w:val="fr-FR"/>
        </w:rPr>
        <w:t>sortie</w:t>
      </w:r>
      <w:r>
        <w:rPr>
          <w:lang w:val="fr-FR"/>
        </w:rPr>
        <w:t>s</w:t>
      </w:r>
      <w:r w:rsidRPr="00013350">
        <w:rPr>
          <w:lang w:val="fr-FR"/>
        </w:rPr>
        <w:t xml:space="preserve"> tout en maintenant la cohérence des interfaces avec le module de traitement.</w:t>
      </w:r>
    </w:p>
    <w:p w14:paraId="05C2F99F" w14:textId="77777777" w:rsidR="00013350" w:rsidRPr="00013350" w:rsidRDefault="00013350">
      <w:pPr>
        <w:rPr>
          <w:lang w:val="fr-FR"/>
        </w:rPr>
      </w:pPr>
    </w:p>
    <w:p w14:paraId="5F2C7201" w14:textId="5C48855F" w:rsidR="00013350" w:rsidRPr="00013350" w:rsidRDefault="00013350" w:rsidP="00727093">
      <w:pPr>
        <w:widowControl/>
        <w:autoSpaceDE w:val="0"/>
        <w:autoSpaceDN w:val="0"/>
        <w:adjustRightInd w:val="0"/>
        <w:rPr>
          <w:lang w:val="fr-FR"/>
        </w:rPr>
      </w:pPr>
      <w:r w:rsidRPr="00013350">
        <w:rPr>
          <w:lang w:val="fr-FR"/>
        </w:rPr>
        <w:t xml:space="preserve">Couplé à la plate-forme matérielle </w:t>
      </w:r>
      <w:r w:rsidR="00727093" w:rsidRPr="00727093">
        <w:rPr>
          <w:lang w:val="fr-FR"/>
        </w:rPr>
        <w:t>T</w:t>
      </w:r>
      <w:r w:rsidR="00727093" w:rsidRPr="00727093">
        <w:rPr>
          <w:smallCaps/>
          <w:lang w:val="fr-FR"/>
        </w:rPr>
        <w:t>ulipp</w:t>
      </w:r>
      <w:r w:rsidRPr="00013350">
        <w:rPr>
          <w:lang w:val="fr-FR"/>
        </w:rPr>
        <w:t xml:space="preserve">, un système d’exploitation temps réel embarqué parallèle à faible temps de latence a été spécialement développé par Hipperos pour gérer de manière prévisible les applications intégrées multithreads complexes. Une parfaite coordination en temps réel garantit une cadence élevée </w:t>
      </w:r>
      <w:r w:rsidR="00727093">
        <w:rPr>
          <w:lang w:val="fr-FR"/>
        </w:rPr>
        <w:t xml:space="preserve">sans enfreindre les </w:t>
      </w:r>
      <w:r w:rsidRPr="00013350">
        <w:rPr>
          <w:lang w:val="fr-FR"/>
        </w:rPr>
        <w:t>délai</w:t>
      </w:r>
      <w:r w:rsidR="00727093">
        <w:rPr>
          <w:lang w:val="fr-FR"/>
        </w:rPr>
        <w:t>s</w:t>
      </w:r>
      <w:r w:rsidRPr="00013350">
        <w:rPr>
          <w:lang w:val="fr-FR"/>
        </w:rPr>
        <w:t xml:space="preserve"> </w:t>
      </w:r>
      <w:r w:rsidR="00727093">
        <w:rPr>
          <w:lang w:val="fr-FR"/>
        </w:rPr>
        <w:t xml:space="preserve">et sans perte de </w:t>
      </w:r>
      <w:r w:rsidRPr="00013350">
        <w:rPr>
          <w:lang w:val="fr-FR"/>
        </w:rPr>
        <w:t xml:space="preserve">données. En outre, afin de faciliter le développement efficace d'applications de traitement d'images sur le matériel </w:t>
      </w:r>
      <w:r w:rsidR="00727093" w:rsidRPr="00727093">
        <w:rPr>
          <w:lang w:val="fr-FR"/>
        </w:rPr>
        <w:t>T</w:t>
      </w:r>
      <w:r w:rsidR="00727093" w:rsidRPr="00727093">
        <w:rPr>
          <w:smallCaps/>
          <w:lang w:val="fr-FR"/>
        </w:rPr>
        <w:t>ulipp</w:t>
      </w:r>
      <w:r w:rsidR="00727093" w:rsidRPr="00727093">
        <w:rPr>
          <w:lang w:val="fr-FR"/>
        </w:rPr>
        <w:t xml:space="preserve"> </w:t>
      </w:r>
      <w:r w:rsidRPr="00013350">
        <w:rPr>
          <w:lang w:val="fr-FR"/>
        </w:rPr>
        <w:t xml:space="preserve">et d'aider les concepteurs de systèmes basés sur la vision à comprendre l'impact de leurs choix de </w:t>
      </w:r>
      <w:r w:rsidR="00727093">
        <w:rPr>
          <w:lang w:val="fr-FR"/>
        </w:rPr>
        <w:t>placement</w:t>
      </w:r>
      <w:r w:rsidRPr="00013350">
        <w:rPr>
          <w:lang w:val="fr-FR"/>
        </w:rPr>
        <w:t xml:space="preserve"> et de </w:t>
      </w:r>
      <w:r w:rsidR="00727093">
        <w:rPr>
          <w:lang w:val="fr-FR"/>
        </w:rPr>
        <w:t>séquencement</w:t>
      </w:r>
      <w:r w:rsidRPr="00013350">
        <w:rPr>
          <w:lang w:val="fr-FR"/>
        </w:rPr>
        <w:t xml:space="preserve"> </w:t>
      </w:r>
      <w:r w:rsidR="00727093" w:rsidRPr="00013350">
        <w:rPr>
          <w:lang w:val="fr-FR"/>
        </w:rPr>
        <w:t xml:space="preserve">fonctionnel </w:t>
      </w:r>
      <w:r w:rsidRPr="00013350">
        <w:rPr>
          <w:lang w:val="fr-FR"/>
        </w:rPr>
        <w:t xml:space="preserve">sur les ressources disponibles, la plate-forme de référence </w:t>
      </w:r>
      <w:r w:rsidR="00727093" w:rsidRPr="00727093">
        <w:rPr>
          <w:lang w:val="fr-FR"/>
        </w:rPr>
        <w:t>T</w:t>
      </w:r>
      <w:r w:rsidR="00727093" w:rsidRPr="00727093">
        <w:rPr>
          <w:smallCaps/>
          <w:lang w:val="fr-FR"/>
        </w:rPr>
        <w:t>ulipp</w:t>
      </w:r>
      <w:r w:rsidR="00727093" w:rsidRPr="00727093">
        <w:rPr>
          <w:lang w:val="fr-FR"/>
        </w:rPr>
        <w:t xml:space="preserve"> </w:t>
      </w:r>
      <w:r w:rsidRPr="00013350">
        <w:rPr>
          <w:lang w:val="fr-FR"/>
        </w:rPr>
        <w:t xml:space="preserve">a été étendue </w:t>
      </w:r>
      <w:r w:rsidR="00727093" w:rsidRPr="00013350">
        <w:rPr>
          <w:lang w:val="fr-FR"/>
        </w:rPr>
        <w:t>par Norges Teknisk-Naturvitenskapelige Universitet (NTNU) et Technische Universität Dresden (TUD)</w:t>
      </w:r>
      <w:r w:rsidR="00727093">
        <w:rPr>
          <w:lang w:val="fr-FR"/>
        </w:rPr>
        <w:t xml:space="preserve"> avec des </w:t>
      </w:r>
      <w:r w:rsidR="00727093" w:rsidRPr="00013350">
        <w:rPr>
          <w:lang w:val="fr-FR"/>
        </w:rPr>
        <w:t>fonctions de mesure de la puissance</w:t>
      </w:r>
      <w:r w:rsidR="00727093">
        <w:rPr>
          <w:lang w:val="fr-FR"/>
        </w:rPr>
        <w:t xml:space="preserve"> consommée</w:t>
      </w:r>
      <w:r w:rsidR="00727093" w:rsidRPr="00013350">
        <w:rPr>
          <w:lang w:val="fr-FR"/>
        </w:rPr>
        <w:t xml:space="preserve"> </w:t>
      </w:r>
      <w:r w:rsidR="00727093">
        <w:rPr>
          <w:lang w:val="fr-FR"/>
        </w:rPr>
        <w:t>et d</w:t>
      </w:r>
      <w:r w:rsidRPr="00013350">
        <w:rPr>
          <w:lang w:val="fr-FR"/>
        </w:rPr>
        <w:t>'analyse des performances</w:t>
      </w:r>
      <w:r w:rsidR="00727093">
        <w:rPr>
          <w:lang w:val="fr-FR"/>
        </w:rPr>
        <w:t xml:space="preserve"> qui ont été </w:t>
      </w:r>
      <w:r w:rsidRPr="00013350">
        <w:rPr>
          <w:lang w:val="fr-FR"/>
        </w:rPr>
        <w:t xml:space="preserve">mises en œuvre dans la chaîne d’outils </w:t>
      </w:r>
      <w:r w:rsidR="00727093" w:rsidRPr="00013350">
        <w:rPr>
          <w:lang w:val="fr-FR"/>
        </w:rPr>
        <w:t xml:space="preserve">STHEM </w:t>
      </w:r>
      <w:r w:rsidR="00727093">
        <w:rPr>
          <w:lang w:val="fr-FR"/>
        </w:rPr>
        <w:t xml:space="preserve">de </w:t>
      </w:r>
      <w:r w:rsidR="00727093" w:rsidRPr="00727093">
        <w:rPr>
          <w:lang w:val="fr-FR"/>
        </w:rPr>
        <w:t>T</w:t>
      </w:r>
      <w:r w:rsidR="00727093" w:rsidRPr="00727093">
        <w:rPr>
          <w:smallCaps/>
          <w:lang w:val="fr-FR"/>
        </w:rPr>
        <w:t>ulipp</w:t>
      </w:r>
      <w:r w:rsidRPr="00013350">
        <w:rPr>
          <w:lang w:val="fr-FR"/>
        </w:rPr>
        <w:t>.</w:t>
      </w:r>
    </w:p>
    <w:p w14:paraId="7BB712FF" w14:textId="7EC6C775" w:rsidR="00B44147" w:rsidRPr="00013350" w:rsidRDefault="00B44147">
      <w:pPr>
        <w:rPr>
          <w:lang w:val="fr-FR"/>
        </w:rPr>
      </w:pPr>
    </w:p>
    <w:p w14:paraId="6C28810A" w14:textId="499D71F2" w:rsidR="00727093" w:rsidRPr="00727093" w:rsidRDefault="00727093" w:rsidP="00DF3A28">
      <w:pPr>
        <w:rPr>
          <w:lang w:val="fr-FR"/>
        </w:rPr>
      </w:pPr>
      <w:r w:rsidRPr="00727093">
        <w:rPr>
          <w:lang w:val="fr-FR"/>
        </w:rPr>
        <w:t xml:space="preserve">Les connaissances des experts du consortium </w:t>
      </w:r>
      <w:r w:rsidR="00DF3A28" w:rsidRPr="00352A96">
        <w:rPr>
          <w:lang w:val="fr-FR"/>
        </w:rPr>
        <w:t>T</w:t>
      </w:r>
      <w:r w:rsidR="00DF3A28" w:rsidRPr="00352A96">
        <w:rPr>
          <w:smallCaps/>
          <w:lang w:val="fr-FR"/>
        </w:rPr>
        <w:t>ulipp</w:t>
      </w:r>
      <w:r w:rsidR="00DF3A28" w:rsidRPr="00727093">
        <w:rPr>
          <w:lang w:val="fr-FR"/>
        </w:rPr>
        <w:t xml:space="preserve"> </w:t>
      </w:r>
      <w:r w:rsidRPr="00727093">
        <w:rPr>
          <w:lang w:val="fr-FR"/>
        </w:rPr>
        <w:t xml:space="preserve">ont également été rassemblées dans un ensemble de directives comprenant des conseils pratiques, </w:t>
      </w:r>
      <w:r>
        <w:rPr>
          <w:lang w:val="fr-FR"/>
        </w:rPr>
        <w:t xml:space="preserve">des </w:t>
      </w:r>
      <w:r w:rsidRPr="00727093">
        <w:rPr>
          <w:lang w:val="fr-FR"/>
        </w:rPr>
        <w:t xml:space="preserve">meilleures pratiques </w:t>
      </w:r>
      <w:r>
        <w:rPr>
          <w:lang w:val="fr-FR"/>
        </w:rPr>
        <w:t>d’approche</w:t>
      </w:r>
      <w:r w:rsidRPr="00727093">
        <w:rPr>
          <w:lang w:val="fr-FR"/>
        </w:rPr>
        <w:t xml:space="preserve"> et des méthodes recommandées </w:t>
      </w:r>
      <w:r>
        <w:rPr>
          <w:lang w:val="fr-FR"/>
        </w:rPr>
        <w:t>pour la</w:t>
      </w:r>
      <w:r w:rsidRPr="00727093">
        <w:rPr>
          <w:lang w:val="fr-FR"/>
        </w:rPr>
        <w:t xml:space="preserve"> mise en œuvre </w:t>
      </w:r>
      <w:r>
        <w:rPr>
          <w:lang w:val="fr-FR"/>
        </w:rPr>
        <w:t>afin d’</w:t>
      </w:r>
      <w:r w:rsidRPr="00727093">
        <w:rPr>
          <w:lang w:val="fr-FR"/>
        </w:rPr>
        <w:t>aider les concepteurs de systèmes basés sur la vision à choisir la stratégie de mise en œuvre optimale pour leurs propres applications. Ce</w:t>
      </w:r>
      <w:r>
        <w:rPr>
          <w:lang w:val="fr-FR"/>
        </w:rPr>
        <w:t xml:space="preserve">s connaissances seront rassemblées dans </w:t>
      </w:r>
      <w:r w:rsidRPr="00727093">
        <w:rPr>
          <w:lang w:val="fr-FR"/>
        </w:rPr>
        <w:t xml:space="preserve">un livre devant être publié par Springer d’ici à la fin de 2019 et </w:t>
      </w:r>
      <w:r w:rsidR="00566CBE">
        <w:rPr>
          <w:lang w:val="fr-FR"/>
        </w:rPr>
        <w:t>appuyé</w:t>
      </w:r>
      <w:r w:rsidRPr="00727093">
        <w:rPr>
          <w:lang w:val="fr-FR"/>
        </w:rPr>
        <w:t xml:space="preserve"> par </w:t>
      </w:r>
      <w:r>
        <w:rPr>
          <w:lang w:val="fr-FR"/>
        </w:rPr>
        <w:t>le soutien</w:t>
      </w:r>
      <w:r w:rsidRPr="00727093">
        <w:rPr>
          <w:lang w:val="fr-FR"/>
        </w:rPr>
        <w:t xml:space="preserve"> de l’écosystème croissant de développeurs qui testent actuellement le concept.</w:t>
      </w:r>
    </w:p>
    <w:p w14:paraId="68EB43E2" w14:textId="77777777" w:rsidR="00727093" w:rsidRPr="00727093" w:rsidRDefault="00727093">
      <w:pPr>
        <w:rPr>
          <w:lang w:val="fr-FR"/>
        </w:rPr>
      </w:pPr>
    </w:p>
    <w:p w14:paraId="0DAEB320" w14:textId="3B41DFB2" w:rsidR="00566CBE" w:rsidRPr="00566CBE" w:rsidRDefault="00352A96" w:rsidP="006819BB">
      <w:pPr>
        <w:rPr>
          <w:lang w:val="fr-FR"/>
        </w:rPr>
      </w:pPr>
      <w:r>
        <w:rPr>
          <w:lang w:val="fr-FR"/>
        </w:rPr>
        <w:t>P</w:t>
      </w:r>
      <w:r w:rsidRPr="00566CBE">
        <w:rPr>
          <w:lang w:val="fr-FR"/>
        </w:rPr>
        <w:t>our démontrer la possibilité de définir une plate-forme de traitement de référence commune comprenant le matériel, le système d'exploitation et un environnement de programmation</w:t>
      </w:r>
      <w:r>
        <w:rPr>
          <w:lang w:val="fr-FR"/>
        </w:rPr>
        <w:t>,</w:t>
      </w:r>
      <w:r w:rsidRPr="00566CBE">
        <w:rPr>
          <w:lang w:val="fr-FR"/>
        </w:rPr>
        <w:t xml:space="preserve"> </w:t>
      </w:r>
      <w:r w:rsidRPr="00352A96">
        <w:rPr>
          <w:lang w:val="fr-FR"/>
        </w:rPr>
        <w:t>T</w:t>
      </w:r>
      <w:r w:rsidRPr="00352A96">
        <w:rPr>
          <w:smallCaps/>
          <w:lang w:val="fr-FR"/>
        </w:rPr>
        <w:t>ulipp</w:t>
      </w:r>
      <w:r w:rsidRPr="00352A96">
        <w:rPr>
          <w:lang w:val="fr-FR"/>
        </w:rPr>
        <w:t xml:space="preserve"> </w:t>
      </w:r>
      <w:r w:rsidR="00566CBE" w:rsidRPr="00566CBE">
        <w:rPr>
          <w:lang w:val="fr-FR"/>
        </w:rPr>
        <w:t>a également d</w:t>
      </w:r>
      <w:r>
        <w:rPr>
          <w:lang w:val="fr-FR"/>
        </w:rPr>
        <w:t xml:space="preserve">éveloppé trois applications </w:t>
      </w:r>
      <w:r w:rsidR="00566CBE" w:rsidRPr="00566CBE">
        <w:rPr>
          <w:lang w:val="fr-FR"/>
        </w:rPr>
        <w:t xml:space="preserve">réelles </w:t>
      </w:r>
      <w:r w:rsidRPr="00566CBE">
        <w:rPr>
          <w:lang w:val="fr-FR"/>
        </w:rPr>
        <w:t xml:space="preserve">dans des domaines d'application très </w:t>
      </w:r>
      <w:r>
        <w:rPr>
          <w:lang w:val="fr-FR"/>
        </w:rPr>
        <w:t>différents</w:t>
      </w:r>
      <w:r w:rsidRPr="00566CBE">
        <w:rPr>
          <w:lang w:val="fr-FR"/>
        </w:rPr>
        <w:t xml:space="preserve">: imagerie médicale à rayons X, systèmes ADAS (Advanced </w:t>
      </w:r>
      <w:r w:rsidR="006819BB" w:rsidRPr="00566CBE">
        <w:rPr>
          <w:lang w:val="fr-FR"/>
        </w:rPr>
        <w:t xml:space="preserve">Driver </w:t>
      </w:r>
      <w:r w:rsidRPr="00566CBE">
        <w:rPr>
          <w:lang w:val="fr-FR"/>
        </w:rPr>
        <w:t xml:space="preserve">Assistance </w:t>
      </w:r>
      <w:r w:rsidR="006819BB" w:rsidRPr="006819BB">
        <w:rPr>
          <w:lang w:val="fr-FR"/>
        </w:rPr>
        <w:t>Systems</w:t>
      </w:r>
      <w:r w:rsidRPr="00566CBE">
        <w:rPr>
          <w:lang w:val="fr-FR"/>
        </w:rPr>
        <w:t xml:space="preserve">) </w:t>
      </w:r>
      <w:r w:rsidR="006819BB">
        <w:rPr>
          <w:lang w:val="fr-FR"/>
        </w:rPr>
        <w:t xml:space="preserve">d’assistance à la conduite </w:t>
      </w:r>
      <w:r w:rsidRPr="00566CBE">
        <w:rPr>
          <w:lang w:val="fr-FR"/>
        </w:rPr>
        <w:t xml:space="preserve">et véhicules </w:t>
      </w:r>
      <w:r>
        <w:rPr>
          <w:lang w:val="fr-FR"/>
        </w:rPr>
        <w:t xml:space="preserve">aériens </w:t>
      </w:r>
      <w:r w:rsidRPr="00566CBE">
        <w:rPr>
          <w:lang w:val="fr-FR"/>
        </w:rPr>
        <w:t>sans pilote (UAV)</w:t>
      </w:r>
      <w:r>
        <w:rPr>
          <w:lang w:val="fr-FR"/>
        </w:rPr>
        <w:t xml:space="preserve">, </w:t>
      </w:r>
      <w:r w:rsidR="00566CBE" w:rsidRPr="00566CBE">
        <w:rPr>
          <w:lang w:val="fr-FR"/>
        </w:rPr>
        <w:t xml:space="preserve">reflétant </w:t>
      </w:r>
      <w:r>
        <w:rPr>
          <w:lang w:val="fr-FR"/>
        </w:rPr>
        <w:t>l</w:t>
      </w:r>
      <w:r w:rsidR="00566CBE" w:rsidRPr="00566CBE">
        <w:rPr>
          <w:lang w:val="fr-FR"/>
        </w:rPr>
        <w:t xml:space="preserve">es caractéristiques communes </w:t>
      </w:r>
      <w:r w:rsidRPr="00566CBE">
        <w:rPr>
          <w:lang w:val="fr-FR"/>
        </w:rPr>
        <w:t>en temps réel et hautes performances</w:t>
      </w:r>
      <w:r>
        <w:rPr>
          <w:lang w:val="fr-FR"/>
        </w:rPr>
        <w:t xml:space="preserve"> du</w:t>
      </w:r>
      <w:r w:rsidR="00566CBE" w:rsidRPr="00566CBE">
        <w:rPr>
          <w:lang w:val="fr-FR"/>
        </w:rPr>
        <w:t xml:space="preserve"> traitement </w:t>
      </w:r>
      <w:r>
        <w:rPr>
          <w:lang w:val="fr-FR"/>
        </w:rPr>
        <w:t>d’</w:t>
      </w:r>
      <w:r w:rsidR="00566CBE" w:rsidRPr="00566CBE">
        <w:rPr>
          <w:lang w:val="fr-FR"/>
        </w:rPr>
        <w:t xml:space="preserve">images et de la vision. </w:t>
      </w:r>
    </w:p>
    <w:p w14:paraId="021A8F79" w14:textId="77777777" w:rsidR="00566CBE" w:rsidRPr="00566CBE" w:rsidRDefault="00566CBE">
      <w:pPr>
        <w:rPr>
          <w:lang w:val="fr-FR"/>
        </w:rPr>
      </w:pPr>
    </w:p>
    <w:p w14:paraId="4E6B1CE8" w14:textId="56D5B689" w:rsidR="00352A96" w:rsidRPr="00352A96" w:rsidRDefault="00352A96" w:rsidP="006819BB">
      <w:pPr>
        <w:rPr>
          <w:lang w:val="fr-FR"/>
        </w:rPr>
      </w:pPr>
      <w:r>
        <w:rPr>
          <w:lang w:val="fr-FR"/>
        </w:rPr>
        <w:t>L’application d’</w:t>
      </w:r>
      <w:r w:rsidRPr="00352A96">
        <w:rPr>
          <w:lang w:val="fr-FR"/>
        </w:rPr>
        <w:t xml:space="preserve">imagerie médicale par rayons X de </w:t>
      </w:r>
      <w:r w:rsidR="006819BB" w:rsidRPr="00352A96">
        <w:rPr>
          <w:lang w:val="fr-FR"/>
        </w:rPr>
        <w:t>T</w:t>
      </w:r>
      <w:r w:rsidR="006819BB" w:rsidRPr="00352A96">
        <w:rPr>
          <w:smallCaps/>
          <w:lang w:val="fr-FR"/>
        </w:rPr>
        <w:t>ulipp</w:t>
      </w:r>
      <w:r w:rsidRPr="00352A96">
        <w:rPr>
          <w:lang w:val="fr-FR"/>
        </w:rPr>
        <w:t xml:space="preserve">, présente des algorithmes avancés d’amélioration d’image pour les images à rayons X fonctionnant à une cadence élevée. Il se concentre sur l'amélioration des performances des </w:t>
      </w:r>
      <w:r>
        <w:rPr>
          <w:lang w:val="fr-FR"/>
        </w:rPr>
        <w:t>a</w:t>
      </w:r>
      <w:r w:rsidRPr="00352A96">
        <w:rPr>
          <w:lang w:val="fr-FR"/>
        </w:rPr>
        <w:t>rceau</w:t>
      </w:r>
      <w:r w:rsidR="006819BB">
        <w:rPr>
          <w:lang w:val="fr-FR"/>
        </w:rPr>
        <w:t>x</w:t>
      </w:r>
      <w:r w:rsidRPr="00352A96">
        <w:rPr>
          <w:lang w:val="fr-FR"/>
        </w:rPr>
        <w:t xml:space="preserve"> mobile</w:t>
      </w:r>
      <w:r w:rsidR="006819BB">
        <w:rPr>
          <w:lang w:val="fr-FR"/>
        </w:rPr>
        <w:t>s</w:t>
      </w:r>
      <w:r w:rsidRPr="00352A96">
        <w:rPr>
          <w:lang w:val="fr-FR"/>
        </w:rPr>
        <w:t xml:space="preserve"> compact</w:t>
      </w:r>
      <w:r w:rsidR="006819BB">
        <w:rPr>
          <w:lang w:val="fr-FR"/>
        </w:rPr>
        <w:t>s</w:t>
      </w:r>
      <w:r w:rsidRPr="00352A96">
        <w:rPr>
          <w:lang w:val="fr-FR"/>
        </w:rPr>
        <w:t xml:space="preserve"> pour l’imagerie chirurgicale</w:t>
      </w:r>
      <w:r>
        <w:rPr>
          <w:lang w:val="fr-FR"/>
        </w:rPr>
        <w:t xml:space="preserve"> </w:t>
      </w:r>
      <w:r w:rsidRPr="00352A96">
        <w:rPr>
          <w:lang w:val="fr-FR"/>
        </w:rPr>
        <w:t xml:space="preserve">par rayons X, qui fournissent une vue interne du corps d'un patient en temps réel tout au long d'une opération afin d'accroître l'efficacité et la précision des chirurgiens avec des tailles minimales d'incision, une récupération plus rapide des patients, </w:t>
      </w:r>
      <w:r w:rsidR="006819BB">
        <w:rPr>
          <w:lang w:val="fr-FR"/>
        </w:rPr>
        <w:t xml:space="preserve">et qui </w:t>
      </w:r>
      <w:r w:rsidRPr="00352A96">
        <w:rPr>
          <w:lang w:val="fr-FR"/>
        </w:rPr>
        <w:t>réduit les ris</w:t>
      </w:r>
      <w:r w:rsidR="006819BB">
        <w:rPr>
          <w:lang w:val="fr-FR"/>
        </w:rPr>
        <w:t>ques de maladies nosocomiales. Ces améliorations permettent de réduire</w:t>
      </w:r>
      <w:r w:rsidRPr="00352A96">
        <w:rPr>
          <w:lang w:val="fr-FR"/>
        </w:rPr>
        <w:t xml:space="preserve"> de 75% les doses de rayonnement auxquelles les patients et le personnel sont exposés.</w:t>
      </w:r>
    </w:p>
    <w:p w14:paraId="7E40D189" w14:textId="77777777" w:rsidR="00352A96" w:rsidRPr="00352A96" w:rsidRDefault="00352A96">
      <w:pPr>
        <w:rPr>
          <w:lang w:val="fr-FR"/>
        </w:rPr>
      </w:pPr>
    </w:p>
    <w:p w14:paraId="0C83168D" w14:textId="6EEDA996" w:rsidR="006819BB" w:rsidRPr="006819BB" w:rsidRDefault="006819BB" w:rsidP="0000697F">
      <w:pPr>
        <w:rPr>
          <w:lang w:val="fr-FR"/>
        </w:rPr>
      </w:pPr>
      <w:r w:rsidRPr="006819BB">
        <w:rPr>
          <w:lang w:val="fr-FR"/>
        </w:rPr>
        <w:t>L’adoption d</w:t>
      </w:r>
      <w:r>
        <w:rPr>
          <w:lang w:val="fr-FR"/>
        </w:rPr>
        <w:t>e l</w:t>
      </w:r>
      <w:r w:rsidRPr="006819BB">
        <w:rPr>
          <w:lang w:val="fr-FR"/>
        </w:rPr>
        <w:t xml:space="preserve">’ADAS </w:t>
      </w:r>
      <w:r>
        <w:rPr>
          <w:lang w:val="fr-FR"/>
        </w:rPr>
        <w:t xml:space="preserve">est </w:t>
      </w:r>
      <w:r w:rsidRPr="006819BB">
        <w:rPr>
          <w:lang w:val="fr-FR"/>
        </w:rPr>
        <w:t>dépend</w:t>
      </w:r>
      <w:r>
        <w:rPr>
          <w:lang w:val="fr-FR"/>
        </w:rPr>
        <w:t>ante</w:t>
      </w:r>
      <w:r w:rsidRPr="006819BB">
        <w:rPr>
          <w:lang w:val="fr-FR"/>
        </w:rPr>
        <w:t xml:space="preserve"> de la mise en œuvre de systèmes de vision ou de combina</w:t>
      </w:r>
      <w:r>
        <w:rPr>
          <w:lang w:val="fr-FR"/>
        </w:rPr>
        <w:t>isons de vision et de radar. L</w:t>
      </w:r>
      <w:r w:rsidRPr="006819BB">
        <w:rPr>
          <w:lang w:val="fr-FR"/>
        </w:rPr>
        <w:t xml:space="preserve">es algorithmes doivent </w:t>
      </w:r>
      <w:r>
        <w:rPr>
          <w:lang w:val="fr-FR"/>
        </w:rPr>
        <w:t xml:space="preserve">de plus </w:t>
      </w:r>
      <w:r w:rsidRPr="006819BB">
        <w:rPr>
          <w:lang w:val="fr-FR"/>
        </w:rPr>
        <w:t xml:space="preserve">pouvoir être intégrés dans une petite unité de contrôle électronique (ECU) économe en énergie. Un algorithme ADAS doit être </w:t>
      </w:r>
      <w:r w:rsidR="0000697F">
        <w:rPr>
          <w:lang w:val="fr-FR"/>
        </w:rPr>
        <w:t>à minima</w:t>
      </w:r>
      <w:r w:rsidR="0000697F" w:rsidRPr="006819BB">
        <w:rPr>
          <w:lang w:val="fr-FR"/>
        </w:rPr>
        <w:t xml:space="preserve"> </w:t>
      </w:r>
      <w:r w:rsidRPr="006819BB">
        <w:rPr>
          <w:lang w:val="fr-FR"/>
        </w:rPr>
        <w:t xml:space="preserve">capable de traiter un flux d’images vidéo avec une taille d’image de 640x480 à 30Hz à demi-débit. Le cas d'utilisation ADAS </w:t>
      </w:r>
      <w:r>
        <w:rPr>
          <w:lang w:val="fr-FR"/>
        </w:rPr>
        <w:t xml:space="preserve">de </w:t>
      </w:r>
      <w:r w:rsidRPr="006819BB">
        <w:rPr>
          <w:lang w:val="fr-FR"/>
        </w:rPr>
        <w:t>T</w:t>
      </w:r>
      <w:r w:rsidRPr="006819BB">
        <w:rPr>
          <w:smallCaps/>
          <w:lang w:val="fr-FR"/>
        </w:rPr>
        <w:t>ulipp</w:t>
      </w:r>
      <w:r w:rsidRPr="006819BB">
        <w:rPr>
          <w:lang w:val="fr-FR"/>
        </w:rPr>
        <w:t xml:space="preserve"> illustre la reconnaissance des piétons en temps réel sur la base de l'algorithme Viola &amp; Jones. À l'aide de la plate-forme de référence T</w:t>
      </w:r>
      <w:r w:rsidRPr="006819BB">
        <w:rPr>
          <w:smallCaps/>
          <w:lang w:val="fr-FR"/>
        </w:rPr>
        <w:t>ulipp</w:t>
      </w:r>
      <w:r w:rsidRPr="006819BB">
        <w:rPr>
          <w:lang w:val="fr-FR"/>
        </w:rPr>
        <w:t xml:space="preserve">, le cas d'utilisation ADAS réalise un temps de traitement par image de 66 ms, ce qui signifie que l'algorithme atteint son objectif, à savoir une image </w:t>
      </w:r>
      <w:r w:rsidR="0000697F">
        <w:rPr>
          <w:lang w:val="fr-FR"/>
        </w:rPr>
        <w:t xml:space="preserve">sur deux </w:t>
      </w:r>
      <w:r w:rsidRPr="006819BB">
        <w:rPr>
          <w:lang w:val="fr-FR"/>
        </w:rPr>
        <w:t>lorsque la caméra fonctionne à 30Hz.</w:t>
      </w:r>
    </w:p>
    <w:p w14:paraId="7FC875A1" w14:textId="77777777" w:rsidR="00063D50" w:rsidRPr="006819BB" w:rsidRDefault="00063D50" w:rsidP="00063D50">
      <w:pPr>
        <w:rPr>
          <w:lang w:val="fr-FR"/>
        </w:rPr>
      </w:pPr>
    </w:p>
    <w:p w14:paraId="699A1E34" w14:textId="080D7C7E" w:rsidR="0000697F" w:rsidRPr="0000697F" w:rsidRDefault="0000697F" w:rsidP="0000697F">
      <w:pPr>
        <w:rPr>
          <w:lang w:val="fr-FR"/>
        </w:rPr>
      </w:pPr>
      <w:r w:rsidRPr="0000697F">
        <w:rPr>
          <w:lang w:val="fr-FR"/>
        </w:rPr>
        <w:t xml:space="preserve">Le cas d’utilisation de </w:t>
      </w:r>
      <w:r w:rsidRPr="006819BB">
        <w:rPr>
          <w:lang w:val="fr-FR"/>
        </w:rPr>
        <w:t>T</w:t>
      </w:r>
      <w:r w:rsidRPr="006819BB">
        <w:rPr>
          <w:smallCaps/>
          <w:lang w:val="fr-FR"/>
        </w:rPr>
        <w:t>ulipp</w:t>
      </w:r>
      <w:r w:rsidRPr="0000697F">
        <w:rPr>
          <w:lang w:val="fr-FR"/>
        </w:rPr>
        <w:t xml:space="preserve"> </w:t>
      </w:r>
      <w:r>
        <w:rPr>
          <w:lang w:val="fr-FR"/>
        </w:rPr>
        <w:t xml:space="preserve">pour les UAV </w:t>
      </w:r>
      <w:r w:rsidRPr="0000697F">
        <w:rPr>
          <w:lang w:val="fr-FR"/>
        </w:rPr>
        <w:t xml:space="preserve">illustre un système d’évitement d’obstacles en temps réel basé sur une configuration de caméra stéréo avec des caméras orientées dans la direction du vol. Même si nous parlons de drones autonomes, la plupart des systèmes actuels sont encore pilotés à distance par des </w:t>
      </w:r>
      <w:r>
        <w:rPr>
          <w:lang w:val="fr-FR"/>
        </w:rPr>
        <w:t>personnes</w:t>
      </w:r>
      <w:r w:rsidRPr="0000697F">
        <w:rPr>
          <w:lang w:val="fr-FR"/>
        </w:rPr>
        <w:t xml:space="preserve">. Le cas d'utilisation </w:t>
      </w:r>
      <w:r>
        <w:rPr>
          <w:lang w:val="fr-FR"/>
        </w:rPr>
        <w:t>repose sur</w:t>
      </w:r>
      <w:r w:rsidRPr="0000697F">
        <w:rPr>
          <w:lang w:val="fr-FR"/>
        </w:rPr>
        <w:t xml:space="preserve"> des cartes de disparité, calculées à partir des images de</w:t>
      </w:r>
      <w:r>
        <w:rPr>
          <w:lang w:val="fr-FR"/>
        </w:rPr>
        <w:t>s</w:t>
      </w:r>
      <w:r w:rsidRPr="0000697F">
        <w:rPr>
          <w:lang w:val="fr-FR"/>
        </w:rPr>
        <w:t xml:space="preserve"> caméra</w:t>
      </w:r>
      <w:r>
        <w:rPr>
          <w:lang w:val="fr-FR"/>
        </w:rPr>
        <w:t>s</w:t>
      </w:r>
      <w:r w:rsidRPr="0000697F">
        <w:rPr>
          <w:lang w:val="fr-FR"/>
        </w:rPr>
        <w:t xml:space="preserve">, pour localiser les obstacles sur la trajectoire de vol et pour diriger automatiquement le drone </w:t>
      </w:r>
      <w:r>
        <w:rPr>
          <w:lang w:val="fr-FR"/>
        </w:rPr>
        <w:t xml:space="preserve">entre les obstacles qui l’entourent. </w:t>
      </w:r>
      <w:r w:rsidRPr="0000697F">
        <w:rPr>
          <w:lang w:val="fr-FR"/>
        </w:rPr>
        <w:t xml:space="preserve">C'est la clé nécessaire </w:t>
      </w:r>
      <w:r>
        <w:rPr>
          <w:lang w:val="fr-FR"/>
        </w:rPr>
        <w:t>vers</w:t>
      </w:r>
      <w:r w:rsidRPr="0000697F">
        <w:rPr>
          <w:lang w:val="fr-FR"/>
        </w:rPr>
        <w:t xml:space="preserve"> des drones totalement autonomes.</w:t>
      </w:r>
    </w:p>
    <w:p w14:paraId="01F12A6A" w14:textId="77777777" w:rsidR="0000697F" w:rsidRPr="0000697F" w:rsidRDefault="0000697F">
      <w:pPr>
        <w:rPr>
          <w:lang w:val="fr-FR"/>
        </w:rPr>
      </w:pPr>
    </w:p>
    <w:p w14:paraId="14CF3AFF" w14:textId="34F86C7D" w:rsidR="0000697F" w:rsidRPr="0000697F" w:rsidRDefault="0000697F" w:rsidP="0000697F">
      <w:pPr>
        <w:rPr>
          <w:lang w:val="fr-FR"/>
        </w:rPr>
      </w:pPr>
      <w:r w:rsidRPr="0000697F">
        <w:rPr>
          <w:lang w:val="fr-FR"/>
        </w:rPr>
        <w:t xml:space="preserve">«Alors que les applications de traitement d'images et de vision grandissent en complexité et en diversité et deviennent de plus en plus intégrées, les concepteurs de systèmes basés sur la vision doivent savoir qu'ils peuvent facilement et simplement résoudre les problèmes de contraintes de conception liés à la faible </w:t>
      </w:r>
      <w:r w:rsidRPr="0000697F">
        <w:rPr>
          <w:lang w:val="fr-FR"/>
        </w:rPr>
        <w:lastRenderedPageBreak/>
        <w:t>consommation, au faible temps de laten</w:t>
      </w:r>
      <w:r>
        <w:rPr>
          <w:lang w:val="fr-FR"/>
        </w:rPr>
        <w:t xml:space="preserve">ce et aux performances élevées </w:t>
      </w:r>
      <w:r w:rsidRPr="0000697F">
        <w:rPr>
          <w:lang w:val="fr-FR"/>
        </w:rPr>
        <w:t xml:space="preserve">et un traitement d’image fiable </w:t>
      </w:r>
      <w:r>
        <w:rPr>
          <w:lang w:val="fr-FR"/>
        </w:rPr>
        <w:t>et</w:t>
      </w:r>
      <w:r w:rsidRPr="0000697F">
        <w:rPr>
          <w:lang w:val="fr-FR"/>
        </w:rPr>
        <w:t xml:space="preserve"> temps réel qui leur </w:t>
      </w:r>
      <w:r>
        <w:rPr>
          <w:lang w:val="fr-FR"/>
        </w:rPr>
        <w:t>font</w:t>
      </w:r>
      <w:r w:rsidRPr="0000697F">
        <w:rPr>
          <w:lang w:val="fr-FR"/>
        </w:rPr>
        <w:t xml:space="preserve"> face », a conclu Philippe Millet. «Le projet </w:t>
      </w:r>
      <w:r>
        <w:rPr>
          <w:lang w:val="fr-FR"/>
        </w:rPr>
        <w:t xml:space="preserve">européen </w:t>
      </w:r>
      <w:r w:rsidRPr="006819BB">
        <w:rPr>
          <w:lang w:val="fr-FR"/>
        </w:rPr>
        <w:t>T</w:t>
      </w:r>
      <w:r w:rsidRPr="006819BB">
        <w:rPr>
          <w:smallCaps/>
          <w:lang w:val="fr-FR"/>
        </w:rPr>
        <w:t>ulipp</w:t>
      </w:r>
      <w:r w:rsidRPr="0000697F">
        <w:rPr>
          <w:lang w:val="fr-FR"/>
        </w:rPr>
        <w:t xml:space="preserve"> a bien rempli ses objectif</w:t>
      </w:r>
      <w:r>
        <w:rPr>
          <w:lang w:val="fr-FR"/>
        </w:rPr>
        <w:t>s. En outre, l'écosystème d’acteurs du domaine</w:t>
      </w:r>
      <w:r w:rsidRPr="0000697F">
        <w:rPr>
          <w:lang w:val="fr-FR"/>
        </w:rPr>
        <w:t xml:space="preserve"> que nous avons créé </w:t>
      </w:r>
      <w:r>
        <w:rPr>
          <w:lang w:val="fr-FR"/>
        </w:rPr>
        <w:t xml:space="preserve">tout au long du projet </w:t>
      </w:r>
      <w:r w:rsidRPr="0000697F">
        <w:rPr>
          <w:lang w:val="fr-FR"/>
        </w:rPr>
        <w:t xml:space="preserve">assurera sa continuité dans le futur. </w:t>
      </w:r>
      <w:r w:rsidRPr="006819BB">
        <w:rPr>
          <w:lang w:val="fr-FR"/>
        </w:rPr>
        <w:t>T</w:t>
      </w:r>
      <w:r w:rsidRPr="006819BB">
        <w:rPr>
          <w:smallCaps/>
          <w:lang w:val="fr-FR"/>
        </w:rPr>
        <w:t>ulipp</w:t>
      </w:r>
      <w:r w:rsidRPr="0000697F">
        <w:rPr>
          <w:lang w:val="fr-FR"/>
        </w:rPr>
        <w:t xml:space="preserve"> laissera vraiment un héritage. "</w:t>
      </w:r>
    </w:p>
    <w:p w14:paraId="6D170CF8" w14:textId="77777777" w:rsidR="0000697F" w:rsidRPr="0000697F" w:rsidRDefault="0000697F">
      <w:pPr>
        <w:rPr>
          <w:lang w:val="fr-FR"/>
        </w:rPr>
      </w:pPr>
    </w:p>
    <w:p w14:paraId="762D98C7" w14:textId="77777777" w:rsidR="007E0713" w:rsidRPr="0000697F" w:rsidRDefault="007E0713">
      <w:pPr>
        <w:rPr>
          <w:lang w:val="fr-FR"/>
        </w:rPr>
      </w:pPr>
    </w:p>
    <w:p w14:paraId="3960BF91" w14:textId="77777777" w:rsidR="005F7205" w:rsidRPr="00DF3A28" w:rsidRDefault="005F7205">
      <w:pPr>
        <w:rPr>
          <w:lang w:val="fr-FR"/>
        </w:rPr>
      </w:pPr>
      <w:r w:rsidRPr="00DF3A28">
        <w:rPr>
          <w:lang w:val="fr-FR"/>
        </w:rPr>
        <w:t># # #</w:t>
      </w:r>
    </w:p>
    <w:p w14:paraId="4FA1EC20" w14:textId="77777777" w:rsidR="005F7205" w:rsidRPr="00DF3A28" w:rsidRDefault="005F7205">
      <w:pPr>
        <w:rPr>
          <w:lang w:val="fr-FR"/>
        </w:rPr>
      </w:pPr>
    </w:p>
    <w:p w14:paraId="11EC6849" w14:textId="451B60F9" w:rsidR="00C45FF9" w:rsidRPr="0000697F" w:rsidRDefault="0000697F" w:rsidP="0000697F">
      <w:pPr>
        <w:rPr>
          <w:b/>
          <w:bCs/>
          <w:lang w:val="fr-FR"/>
        </w:rPr>
      </w:pPr>
      <w:r w:rsidRPr="0000697F">
        <w:rPr>
          <w:b/>
          <w:bCs/>
          <w:lang w:val="fr-FR"/>
        </w:rPr>
        <w:t xml:space="preserve">A propos de </w:t>
      </w:r>
      <w:r w:rsidRPr="000F0E8D">
        <w:rPr>
          <w:b/>
          <w:bCs/>
          <w:smallCaps/>
          <w:lang w:val="fr-FR"/>
        </w:rPr>
        <w:t>Tulipp</w:t>
      </w:r>
      <w:r w:rsidRPr="0000697F">
        <w:rPr>
          <w:b/>
          <w:bCs/>
          <w:lang w:val="fr-FR"/>
        </w:rPr>
        <w:t xml:space="preserve"> et de ses partenaires</w:t>
      </w:r>
    </w:p>
    <w:p w14:paraId="35697822" w14:textId="77777777" w:rsidR="00C45FF9" w:rsidRPr="0000697F" w:rsidRDefault="00C45FF9" w:rsidP="00C45FF9">
      <w:pPr>
        <w:rPr>
          <w:rFonts w:cs="Arial"/>
          <w:lang w:val="fr-FR"/>
        </w:rPr>
      </w:pPr>
    </w:p>
    <w:p w14:paraId="3662BFA0" w14:textId="34D61BED" w:rsidR="000F0E8D" w:rsidRPr="000F0E8D" w:rsidRDefault="000F0E8D" w:rsidP="000F0E8D">
      <w:pPr>
        <w:rPr>
          <w:lang w:val="fr-FR"/>
        </w:rPr>
      </w:pPr>
      <w:r w:rsidRPr="000F0E8D">
        <w:rPr>
          <w:smallCaps/>
          <w:lang w:val="fr-FR"/>
        </w:rPr>
        <w:t>Tulipp</w:t>
      </w:r>
      <w:r w:rsidRPr="000F0E8D">
        <w:rPr>
          <w:lang w:val="fr-FR"/>
        </w:rPr>
        <w:t xml:space="preserve"> (Towards Ubiquitous Low-power Image Processing Platforms) est financé par le programme Horizon 2020 de l’Union européenne. Il a débuté ses travaux en 2016 et </w:t>
      </w:r>
      <w:r>
        <w:rPr>
          <w:lang w:val="fr-FR"/>
        </w:rPr>
        <w:t>s’est</w:t>
      </w:r>
      <w:r w:rsidRPr="000F0E8D">
        <w:rPr>
          <w:lang w:val="fr-FR"/>
        </w:rPr>
        <w:t xml:space="preserve"> achevé en 2019. Il se concentre sur le développement de systèmes embarqués hautes performances et économes en énergie pour la gamme croissante d'applications de traitement d'images de plus en plus complexes qui émergent dans un large éventail de secteurs industriels. </w:t>
      </w:r>
      <w:r w:rsidRPr="000F0E8D">
        <w:rPr>
          <w:smallCaps/>
          <w:lang w:val="fr-FR"/>
        </w:rPr>
        <w:t>Tulipp</w:t>
      </w:r>
      <w:r w:rsidRPr="000F0E8D">
        <w:rPr>
          <w:lang w:val="fr-FR"/>
        </w:rPr>
        <w:t xml:space="preserve"> visait principalement à fournir aux concepteurs de systèmes basés sur la vision une plate-forme de référence qui définisse des règles de mise en œuvre et des interfaces conçues pour résoudre les problèmes de consommation d'énergie tout en offrant une puissance de calcul garantie et de hautes performances. Pour plus d'informations sur </w:t>
      </w:r>
      <w:r w:rsidRPr="000F0E8D">
        <w:rPr>
          <w:smallCaps/>
          <w:lang w:val="fr-FR"/>
        </w:rPr>
        <w:t>Tulipp</w:t>
      </w:r>
      <w:r w:rsidRPr="000F0E8D">
        <w:rPr>
          <w:lang w:val="fr-FR"/>
        </w:rPr>
        <w:t xml:space="preserve">, rendez-vous sur: http://www.tulipp.eu. Pour plus d'informations sur les membres du consortium </w:t>
      </w:r>
      <w:r w:rsidRPr="000F0E8D">
        <w:rPr>
          <w:smallCaps/>
          <w:lang w:val="fr-FR"/>
        </w:rPr>
        <w:t>Tulipp</w:t>
      </w:r>
      <w:r w:rsidRPr="000F0E8D">
        <w:rPr>
          <w:lang w:val="fr-FR"/>
        </w:rPr>
        <w:t>, voir:</w:t>
      </w:r>
    </w:p>
    <w:p w14:paraId="3943CB4F" w14:textId="77777777" w:rsidR="000F0E8D" w:rsidRPr="000F0E8D" w:rsidRDefault="000F0E8D" w:rsidP="005817C0">
      <w:pPr>
        <w:rPr>
          <w:sz w:val="22"/>
          <w:lang w:val="fr-FR"/>
        </w:rPr>
      </w:pPr>
    </w:p>
    <w:p w14:paraId="2666C39B" w14:textId="77777777" w:rsidR="00C31EA7" w:rsidRPr="00DF3A28" w:rsidRDefault="00C31EA7" w:rsidP="00C31EA7">
      <w:pPr>
        <w:widowControl/>
        <w:autoSpaceDE w:val="0"/>
        <w:autoSpaceDN w:val="0"/>
        <w:adjustRightInd w:val="0"/>
        <w:rPr>
          <w:rStyle w:val="Hyperlink"/>
          <w:rFonts w:cs="Arial"/>
          <w:lang w:val="fr-FR"/>
        </w:rPr>
      </w:pPr>
      <w:r w:rsidRPr="00DF3A28">
        <w:rPr>
          <w:rFonts w:cs="Arial"/>
          <w:lang w:val="fr-FR"/>
        </w:rPr>
        <w:t xml:space="preserve">Thales - </w:t>
      </w:r>
      <w:hyperlink r:id="rId12" w:history="1">
        <w:r w:rsidRPr="00DF3A28">
          <w:rPr>
            <w:rStyle w:val="Hyperlink"/>
            <w:rFonts w:cs="Arial"/>
            <w:lang w:val="fr-FR"/>
          </w:rPr>
          <w:t>www.thalesgroup.</w:t>
        </w:r>
      </w:hyperlink>
      <w:r w:rsidRPr="00DF3A28">
        <w:rPr>
          <w:rStyle w:val="Hyperlink"/>
          <w:rFonts w:cs="Arial"/>
          <w:lang w:val="fr-FR"/>
        </w:rPr>
        <w:t>com</w:t>
      </w:r>
    </w:p>
    <w:p w14:paraId="4F6AE17B" w14:textId="77777777" w:rsidR="00C31EA7" w:rsidRPr="00720EF3" w:rsidRDefault="00C31EA7" w:rsidP="00C31EA7">
      <w:pPr>
        <w:autoSpaceDE w:val="0"/>
        <w:autoSpaceDN w:val="0"/>
        <w:adjustRightInd w:val="0"/>
        <w:rPr>
          <w:lang w:val="fr-FR"/>
        </w:rPr>
      </w:pPr>
      <w:r w:rsidRPr="00720EF3">
        <w:rPr>
          <w:lang w:val="fr-FR"/>
        </w:rPr>
        <w:t xml:space="preserve">Efficient Innovation SAS - </w:t>
      </w:r>
      <w:hyperlink r:id="rId13" w:tgtFrame="_blank" w:history="1">
        <w:r w:rsidRPr="00720EF3">
          <w:rPr>
            <w:rStyle w:val="Hyperlink"/>
            <w:lang w:val="fr-FR"/>
          </w:rPr>
          <w:t>www.efficient-innovation.fr</w:t>
        </w:r>
      </w:hyperlink>
    </w:p>
    <w:p w14:paraId="52591329" w14:textId="77777777" w:rsidR="00C31EA7" w:rsidRPr="00DF3A28" w:rsidRDefault="00C31EA7" w:rsidP="00C31EA7">
      <w:pPr>
        <w:widowControl/>
        <w:autoSpaceDE w:val="0"/>
        <w:autoSpaceDN w:val="0"/>
        <w:adjustRightInd w:val="0"/>
        <w:rPr>
          <w:lang w:val="fr-FR"/>
        </w:rPr>
      </w:pPr>
      <w:r w:rsidRPr="00DF3A28">
        <w:rPr>
          <w:lang w:val="fr-FR"/>
        </w:rPr>
        <w:t xml:space="preserve">Fraunhofer IOSB – </w:t>
      </w:r>
      <w:hyperlink r:id="rId14" w:history="1">
        <w:r w:rsidRPr="00DF3A28">
          <w:rPr>
            <w:rStyle w:val="Hyperlink"/>
            <w:lang w:val="fr-FR"/>
          </w:rPr>
          <w:t>www.iosb.fraunhofer.de</w:t>
        </w:r>
      </w:hyperlink>
      <w:r w:rsidRPr="00DF3A28">
        <w:rPr>
          <w:lang w:val="fr-FR"/>
        </w:rPr>
        <w:t xml:space="preserve"> </w:t>
      </w:r>
    </w:p>
    <w:p w14:paraId="3E40DFD1" w14:textId="77777777" w:rsidR="00C31EA7" w:rsidRPr="00DF3A28" w:rsidRDefault="00C31EA7" w:rsidP="00C31EA7">
      <w:pPr>
        <w:widowControl/>
        <w:autoSpaceDE w:val="0"/>
        <w:autoSpaceDN w:val="0"/>
        <w:adjustRightInd w:val="0"/>
        <w:rPr>
          <w:lang w:val="fr-FR"/>
        </w:rPr>
      </w:pPr>
      <w:r w:rsidRPr="00DF3A28">
        <w:rPr>
          <w:lang w:val="fr-FR"/>
        </w:rPr>
        <w:t xml:space="preserve">Hipperos – </w:t>
      </w:r>
      <w:hyperlink r:id="rId15" w:history="1">
        <w:r w:rsidRPr="00DF3A28">
          <w:rPr>
            <w:rStyle w:val="Hyperlink"/>
            <w:lang w:val="fr-FR"/>
          </w:rPr>
          <w:t>www.hipperos.com</w:t>
        </w:r>
      </w:hyperlink>
      <w:r w:rsidRPr="00DF3A28">
        <w:rPr>
          <w:lang w:val="fr-FR"/>
        </w:rPr>
        <w:t xml:space="preserve"> </w:t>
      </w:r>
    </w:p>
    <w:p w14:paraId="59D7192F" w14:textId="77777777" w:rsidR="00C31EA7" w:rsidRPr="00DF3A28" w:rsidRDefault="00C31EA7" w:rsidP="00C31EA7">
      <w:pPr>
        <w:widowControl/>
        <w:autoSpaceDE w:val="0"/>
        <w:autoSpaceDN w:val="0"/>
        <w:adjustRightInd w:val="0"/>
        <w:rPr>
          <w:lang w:val="fr-FR"/>
        </w:rPr>
      </w:pPr>
      <w:bookmarkStart w:id="4" w:name="_Hlk7084940"/>
      <w:r w:rsidRPr="00DF3A28">
        <w:rPr>
          <w:lang w:val="fr-FR"/>
        </w:rPr>
        <w:t xml:space="preserve">Norges Teknisk-Naturvitenskapelige Universitet – </w:t>
      </w:r>
      <w:hyperlink r:id="rId16" w:history="1">
        <w:r w:rsidRPr="00DF3A28">
          <w:rPr>
            <w:rStyle w:val="Hyperlink"/>
            <w:lang w:val="fr-FR"/>
          </w:rPr>
          <w:t>www.ntnu.no</w:t>
        </w:r>
      </w:hyperlink>
      <w:r w:rsidRPr="00DF3A28">
        <w:rPr>
          <w:lang w:val="fr-FR"/>
        </w:rPr>
        <w:t xml:space="preserve"> </w:t>
      </w:r>
    </w:p>
    <w:p w14:paraId="2BEE0C1F" w14:textId="77777777" w:rsidR="00C31EA7" w:rsidRDefault="00C31EA7" w:rsidP="00C31EA7">
      <w:pPr>
        <w:widowControl/>
        <w:autoSpaceDE w:val="0"/>
        <w:autoSpaceDN w:val="0"/>
        <w:adjustRightInd w:val="0"/>
        <w:rPr>
          <w:lang w:val="de-DE"/>
        </w:rPr>
      </w:pPr>
      <w:r>
        <w:rPr>
          <w:lang w:val="de-DE"/>
        </w:rPr>
        <w:t xml:space="preserve">Technische Universität Dresden – </w:t>
      </w:r>
      <w:r>
        <w:rPr>
          <w:rStyle w:val="Hyperlink"/>
          <w:lang w:val="de-DE"/>
        </w:rPr>
        <w:t>tu-dresden.de</w:t>
      </w:r>
    </w:p>
    <w:bookmarkEnd w:id="4"/>
    <w:p w14:paraId="6653D840" w14:textId="77777777" w:rsidR="00C31EA7" w:rsidRDefault="00C31EA7" w:rsidP="00C31EA7">
      <w:pPr>
        <w:widowControl/>
        <w:autoSpaceDE w:val="0"/>
        <w:autoSpaceDN w:val="0"/>
        <w:adjustRightInd w:val="0"/>
      </w:pPr>
      <w:r>
        <w:t xml:space="preserve">Sundance Multiprocessor Technology – </w:t>
      </w:r>
      <w:hyperlink r:id="rId17" w:history="1">
        <w:r w:rsidRPr="003E3741">
          <w:rPr>
            <w:rStyle w:val="Hyperlink"/>
          </w:rPr>
          <w:t>www.sundance.com</w:t>
        </w:r>
      </w:hyperlink>
    </w:p>
    <w:p w14:paraId="399C0B08" w14:textId="77777777" w:rsidR="00C31EA7" w:rsidRPr="00DF3A28" w:rsidRDefault="00C31EA7" w:rsidP="00C31EA7">
      <w:pPr>
        <w:widowControl/>
        <w:autoSpaceDE w:val="0"/>
        <w:autoSpaceDN w:val="0"/>
        <w:adjustRightInd w:val="0"/>
        <w:rPr>
          <w:rStyle w:val="Hyperlink"/>
          <w:lang w:val="fr-FR"/>
        </w:rPr>
      </w:pPr>
      <w:r w:rsidRPr="00DF3A28">
        <w:rPr>
          <w:lang w:val="fr-FR"/>
        </w:rPr>
        <w:t xml:space="preserve">Synective Labs – </w:t>
      </w:r>
      <w:hyperlink r:id="rId18" w:history="1">
        <w:r w:rsidRPr="00DF3A28">
          <w:rPr>
            <w:rStyle w:val="Hyperlink"/>
            <w:lang w:val="fr-FR"/>
          </w:rPr>
          <w:t>www.synective.se</w:t>
        </w:r>
      </w:hyperlink>
    </w:p>
    <w:p w14:paraId="28F3E5BB" w14:textId="2FC0EDDB" w:rsidR="00C31EA7" w:rsidRPr="00DF3A28" w:rsidRDefault="00C31EA7" w:rsidP="00C45FF9">
      <w:pPr>
        <w:widowControl/>
        <w:autoSpaceDE w:val="0"/>
        <w:autoSpaceDN w:val="0"/>
        <w:adjustRightInd w:val="0"/>
        <w:rPr>
          <w:rStyle w:val="Hyperlink"/>
          <w:lang w:val="fr-FR"/>
        </w:rPr>
      </w:pPr>
    </w:p>
    <w:p w14:paraId="55C5E8CC" w14:textId="03E77752" w:rsidR="00B10D84" w:rsidRDefault="000F0E8D" w:rsidP="00B10D84">
      <w:pPr>
        <w:rPr>
          <w:rFonts w:cs="Arial"/>
          <w:color w:val="000000"/>
          <w:sz w:val="16"/>
          <w:szCs w:val="16"/>
          <w:lang w:val="fr-FR"/>
        </w:rPr>
      </w:pPr>
      <w:r w:rsidRPr="000F0E8D">
        <w:rPr>
          <w:rFonts w:cs="Arial"/>
          <w:color w:val="000000"/>
          <w:sz w:val="16"/>
          <w:szCs w:val="16"/>
          <w:lang w:val="fr-FR"/>
        </w:rPr>
        <w:t>Toutes les marques sont reconnues et sont la propriété de leurs sociétés respectives.</w:t>
      </w:r>
    </w:p>
    <w:p w14:paraId="61D945C0" w14:textId="77777777" w:rsidR="000F0E8D" w:rsidRPr="000F0E8D" w:rsidRDefault="000F0E8D" w:rsidP="00B10D84">
      <w:pPr>
        <w:rPr>
          <w:lang w:val="fr-FR"/>
        </w:rPr>
      </w:pPr>
    </w:p>
    <w:p w14:paraId="2480CA0E" w14:textId="4024510C" w:rsidR="00925C2B" w:rsidRPr="00FE48AA" w:rsidRDefault="000F0E8D" w:rsidP="000F0E8D">
      <w:pPr>
        <w:rPr>
          <w:sz w:val="16"/>
          <w:szCs w:val="16"/>
        </w:rPr>
      </w:pPr>
      <w:r>
        <w:rPr>
          <w:b/>
          <w:sz w:val="16"/>
          <w:szCs w:val="16"/>
        </w:rPr>
        <w:t>C</w:t>
      </w:r>
      <w:r w:rsidRPr="00FE48AA">
        <w:rPr>
          <w:b/>
          <w:sz w:val="16"/>
          <w:szCs w:val="16"/>
        </w:rPr>
        <w:t xml:space="preserve">ontacts </w:t>
      </w:r>
      <w:r w:rsidR="00925C2B" w:rsidRPr="00FE48AA">
        <w:rPr>
          <w:b/>
          <w:sz w:val="16"/>
          <w:szCs w:val="16"/>
        </w:rPr>
        <w:t>Media:</w:t>
      </w:r>
    </w:p>
    <w:p w14:paraId="7BD43CCB" w14:textId="77777777" w:rsidR="00925C2B" w:rsidRPr="00FE48AA" w:rsidRDefault="00925C2B" w:rsidP="00925C2B">
      <w:pPr>
        <w:rPr>
          <w:sz w:val="16"/>
          <w:szCs w:val="16"/>
        </w:rPr>
      </w:pPr>
    </w:p>
    <w:p w14:paraId="182D436A" w14:textId="77777777" w:rsidR="00424F57" w:rsidRPr="00E04FFA" w:rsidRDefault="001334FE" w:rsidP="00424F57">
      <w:pPr>
        <w:rPr>
          <w:rFonts w:cs="Arial"/>
          <w:sz w:val="16"/>
          <w:szCs w:val="16"/>
        </w:rPr>
      </w:pPr>
      <w:r>
        <w:rPr>
          <w:rFonts w:cs="Arial"/>
          <w:sz w:val="16"/>
          <w:szCs w:val="16"/>
        </w:rPr>
        <w:t>Philippe Millet</w:t>
      </w:r>
      <w:r w:rsidR="007B06FD" w:rsidRPr="00E04FFA">
        <w:rPr>
          <w:rFonts w:cs="Arial"/>
          <w:sz w:val="16"/>
          <w:szCs w:val="16"/>
        </w:rPr>
        <w:t xml:space="preserve">, </w:t>
      </w:r>
      <w:r>
        <w:rPr>
          <w:rFonts w:cs="Arial"/>
          <w:sz w:val="16"/>
          <w:szCs w:val="16"/>
        </w:rPr>
        <w:t xml:space="preserve">EU </w:t>
      </w:r>
      <w:r w:rsidR="00497A65">
        <w:rPr>
          <w:rFonts w:cs="Arial"/>
          <w:sz w:val="16"/>
          <w:szCs w:val="16"/>
        </w:rPr>
        <w:t>TULIPP</w:t>
      </w:r>
      <w:r>
        <w:rPr>
          <w:rFonts w:cs="Arial"/>
          <w:sz w:val="16"/>
          <w:szCs w:val="16"/>
        </w:rPr>
        <w:t xml:space="preserve"> Project Co-ordinator</w:t>
      </w:r>
      <w:r w:rsidR="007B06FD" w:rsidRPr="00E04FFA">
        <w:rPr>
          <w:rFonts w:cs="Arial"/>
          <w:sz w:val="16"/>
          <w:szCs w:val="16"/>
        </w:rPr>
        <w:t xml:space="preserve">, </w:t>
      </w:r>
      <w:r w:rsidR="00497A65">
        <w:rPr>
          <w:rFonts w:cs="Arial"/>
          <w:sz w:val="16"/>
          <w:szCs w:val="16"/>
        </w:rPr>
        <w:t>THALES</w:t>
      </w:r>
      <w:r>
        <w:rPr>
          <w:rFonts w:cs="Arial"/>
          <w:sz w:val="16"/>
          <w:szCs w:val="16"/>
        </w:rPr>
        <w:t xml:space="preserve"> </w:t>
      </w:r>
      <w:r w:rsidR="00497A65">
        <w:rPr>
          <w:rFonts w:cs="Arial"/>
          <w:sz w:val="16"/>
          <w:szCs w:val="16"/>
        </w:rPr>
        <w:t>R</w:t>
      </w:r>
      <w:r>
        <w:rPr>
          <w:rFonts w:cs="Arial"/>
          <w:sz w:val="16"/>
          <w:szCs w:val="16"/>
        </w:rPr>
        <w:t>esearch &amp; Technology</w:t>
      </w:r>
    </w:p>
    <w:p w14:paraId="1B80032A" w14:textId="77777777" w:rsidR="00424F57" w:rsidRPr="002F07D6" w:rsidRDefault="00424F57" w:rsidP="00424F57">
      <w:pPr>
        <w:rPr>
          <w:rFonts w:ascii="Times New Roman" w:hAnsi="Times New Roman"/>
          <w:sz w:val="16"/>
          <w:szCs w:val="16"/>
          <w:lang w:val="fr-FR"/>
        </w:rPr>
      </w:pPr>
      <w:r w:rsidRPr="002F07D6">
        <w:rPr>
          <w:rFonts w:cs="Arial"/>
          <w:sz w:val="16"/>
          <w:szCs w:val="16"/>
          <w:lang w:val="fr-FR"/>
        </w:rPr>
        <w:t xml:space="preserve">Tel: </w:t>
      </w:r>
      <w:r w:rsidR="001334FE" w:rsidRPr="001334FE">
        <w:rPr>
          <w:rFonts w:cs="Arial"/>
          <w:sz w:val="16"/>
          <w:szCs w:val="16"/>
          <w:lang w:val="fr-FR"/>
        </w:rPr>
        <w:t>+33 1 69 41 60 49</w:t>
      </w:r>
      <w:r w:rsidRPr="002F07D6">
        <w:rPr>
          <w:rFonts w:cs="Arial"/>
          <w:sz w:val="16"/>
          <w:szCs w:val="16"/>
          <w:lang w:val="fr-FR"/>
        </w:rPr>
        <w:t xml:space="preserve">.  Email: </w:t>
      </w:r>
      <w:hyperlink r:id="rId19" w:history="1">
        <w:r w:rsidR="00497A65" w:rsidRPr="002F07D6">
          <w:rPr>
            <w:rStyle w:val="Hyperlink"/>
            <w:rFonts w:cs="Arial"/>
            <w:sz w:val="16"/>
            <w:szCs w:val="16"/>
            <w:lang w:val="fr-FR"/>
          </w:rPr>
          <w:t>philippe.millet@thalesgroup.com</w:t>
        </w:r>
      </w:hyperlink>
      <w:r w:rsidR="0055434B" w:rsidRPr="002F07D6">
        <w:rPr>
          <w:rFonts w:cs="Arial"/>
          <w:sz w:val="16"/>
          <w:szCs w:val="16"/>
          <w:lang w:val="fr-FR"/>
        </w:rPr>
        <w:t xml:space="preserve"> </w:t>
      </w:r>
    </w:p>
    <w:p w14:paraId="19062AF1" w14:textId="77777777" w:rsidR="00FE48AA" w:rsidRPr="002F07D6" w:rsidRDefault="00FE48AA" w:rsidP="00FE48AA">
      <w:pPr>
        <w:rPr>
          <w:sz w:val="16"/>
          <w:szCs w:val="16"/>
          <w:lang w:val="fr-FR"/>
        </w:rPr>
      </w:pPr>
    </w:p>
    <w:p w14:paraId="1CAA1A5F" w14:textId="77777777" w:rsidR="00FE48AA" w:rsidRPr="00FE48AA" w:rsidRDefault="00FE48AA" w:rsidP="00FE48AA">
      <w:pPr>
        <w:rPr>
          <w:sz w:val="16"/>
          <w:szCs w:val="16"/>
        </w:rPr>
      </w:pPr>
      <w:r w:rsidRPr="00FE48AA">
        <w:rPr>
          <w:sz w:val="16"/>
          <w:szCs w:val="16"/>
        </w:rPr>
        <w:t xml:space="preserve">Keith Mason, Humbug PR </w:t>
      </w:r>
    </w:p>
    <w:p w14:paraId="44C2788A" w14:textId="7BCB84F8" w:rsidR="00FE48AA" w:rsidRPr="00FE48AA" w:rsidRDefault="00FE48AA" w:rsidP="00FE48AA">
      <w:pPr>
        <w:rPr>
          <w:sz w:val="16"/>
          <w:szCs w:val="16"/>
        </w:rPr>
      </w:pPr>
      <w:r w:rsidRPr="00FE48AA">
        <w:rPr>
          <w:sz w:val="16"/>
          <w:szCs w:val="16"/>
        </w:rPr>
        <w:t>Tel: +44 (0)</w:t>
      </w:r>
      <w:r w:rsidR="00CC3DCC">
        <w:rPr>
          <w:sz w:val="16"/>
          <w:szCs w:val="16"/>
        </w:rPr>
        <w:t>7931 708837</w:t>
      </w:r>
      <w:r w:rsidRPr="00FE48AA">
        <w:rPr>
          <w:sz w:val="16"/>
          <w:szCs w:val="16"/>
        </w:rPr>
        <w:t xml:space="preserve">.  Email: </w:t>
      </w:r>
      <w:hyperlink r:id="rId20" w:history="1">
        <w:r w:rsidRPr="00FE48AA">
          <w:rPr>
            <w:rStyle w:val="Hyperlink"/>
            <w:sz w:val="16"/>
            <w:szCs w:val="16"/>
          </w:rPr>
          <w:t>keith.mason@humbugpr.com</w:t>
        </w:r>
      </w:hyperlink>
      <w:r w:rsidRPr="00FE48AA">
        <w:rPr>
          <w:sz w:val="16"/>
          <w:szCs w:val="16"/>
        </w:rPr>
        <w:t xml:space="preserve">  </w:t>
      </w:r>
    </w:p>
    <w:p w14:paraId="739731A7" w14:textId="77777777" w:rsidR="00FE48AA" w:rsidRPr="00FE48AA" w:rsidRDefault="00FE48AA" w:rsidP="00FE48AA">
      <w:pPr>
        <w:rPr>
          <w:sz w:val="16"/>
          <w:szCs w:val="16"/>
        </w:rPr>
      </w:pPr>
    </w:p>
    <w:p w14:paraId="0A58C69D" w14:textId="2D3AD557" w:rsidR="006B5BC9" w:rsidRPr="00FE48AA" w:rsidRDefault="004F5169" w:rsidP="00FE48AA">
      <w:pPr>
        <w:rPr>
          <w:sz w:val="16"/>
          <w:szCs w:val="16"/>
        </w:rPr>
      </w:pPr>
      <w:r>
        <w:rPr>
          <w:sz w:val="16"/>
          <w:szCs w:val="16"/>
        </w:rPr>
        <w:t xml:space="preserve">Ref: </w:t>
      </w:r>
      <w:r w:rsidR="0057489E">
        <w:rPr>
          <w:sz w:val="16"/>
          <w:szCs w:val="16"/>
        </w:rPr>
        <w:t>TUL</w:t>
      </w:r>
      <w:r w:rsidR="00C31EA7">
        <w:rPr>
          <w:sz w:val="16"/>
          <w:szCs w:val="16"/>
        </w:rPr>
        <w:t>003</w:t>
      </w:r>
      <w:r w:rsidR="009A07EF">
        <w:rPr>
          <w:sz w:val="16"/>
          <w:szCs w:val="16"/>
        </w:rPr>
        <w:t>F</w:t>
      </w:r>
      <w:bookmarkStart w:id="5" w:name="_GoBack"/>
      <w:bookmarkEnd w:id="5"/>
    </w:p>
    <w:p w14:paraId="0AC81ABA" w14:textId="607B6473" w:rsidR="00FE48AA" w:rsidRPr="00FE48AA" w:rsidRDefault="006609A0" w:rsidP="000F0E8D">
      <w:pPr>
        <w:rPr>
          <w:sz w:val="16"/>
          <w:szCs w:val="16"/>
        </w:rPr>
      </w:pPr>
      <w:r w:rsidRPr="00FE48AA">
        <w:rPr>
          <w:sz w:val="16"/>
          <w:szCs w:val="16"/>
        </w:rPr>
        <w:t xml:space="preserve">Words: </w:t>
      </w:r>
      <w:r w:rsidR="000F0E8D">
        <w:rPr>
          <w:sz w:val="16"/>
          <w:szCs w:val="16"/>
        </w:rPr>
        <w:t>11</w:t>
      </w:r>
      <w:r w:rsidR="003E18C3">
        <w:rPr>
          <w:sz w:val="16"/>
          <w:szCs w:val="16"/>
        </w:rPr>
        <w:t>86</w:t>
      </w:r>
    </w:p>
    <w:p w14:paraId="39B6130F" w14:textId="77777777" w:rsidR="00FE48AA" w:rsidRPr="00FE48AA" w:rsidRDefault="00FE48AA" w:rsidP="00FE48AA">
      <w:pPr>
        <w:rPr>
          <w:sz w:val="16"/>
          <w:szCs w:val="16"/>
        </w:rPr>
      </w:pPr>
    </w:p>
    <w:p w14:paraId="1905F6DA" w14:textId="262E3F89" w:rsidR="0057489E" w:rsidRDefault="000F0E8D" w:rsidP="000F0E8D">
      <w:pPr>
        <w:rPr>
          <w:rStyle w:val="Hyperlink"/>
          <w:i/>
          <w:sz w:val="16"/>
          <w:szCs w:val="16"/>
          <w:lang w:val="fr-FR"/>
        </w:rPr>
      </w:pPr>
      <w:r w:rsidRPr="000F0E8D">
        <w:rPr>
          <w:i/>
          <w:sz w:val="16"/>
          <w:szCs w:val="16"/>
          <w:lang w:val="fr-FR"/>
        </w:rPr>
        <w:t xml:space="preserve">Ce communiqué de presse et toutes les images associées (au format jpeg compressé haute résolution) peuvent être téléchargés à partir de </w:t>
      </w:r>
      <w:hyperlink r:id="rId21" w:history="1">
        <w:r w:rsidR="00FE48AA" w:rsidRPr="000F0E8D">
          <w:rPr>
            <w:rStyle w:val="Hyperlink"/>
            <w:i/>
            <w:sz w:val="16"/>
            <w:szCs w:val="16"/>
            <w:lang w:val="fr-FR"/>
          </w:rPr>
          <w:t>www.humbugpr.com</w:t>
        </w:r>
        <w:r w:rsidR="004F5169" w:rsidRPr="000F0E8D">
          <w:rPr>
            <w:rStyle w:val="Hyperlink"/>
            <w:i/>
            <w:sz w:val="16"/>
            <w:szCs w:val="16"/>
            <w:lang w:val="fr-FR"/>
          </w:rPr>
          <w:t>.</w:t>
        </w:r>
      </w:hyperlink>
    </w:p>
    <w:p w14:paraId="57483373" w14:textId="07EAA3F7" w:rsidR="009A07EF" w:rsidRDefault="009A07EF" w:rsidP="000F0E8D">
      <w:pPr>
        <w:rPr>
          <w:rStyle w:val="Hyperlink"/>
          <w:i/>
          <w:sz w:val="16"/>
          <w:szCs w:val="16"/>
          <w:lang w:val="fr-FR"/>
        </w:rPr>
      </w:pPr>
    </w:p>
    <w:p w14:paraId="4FA0DE65" w14:textId="5F03017B" w:rsidR="009A07EF" w:rsidRPr="009A07EF" w:rsidRDefault="009A07EF" w:rsidP="000F0E8D">
      <w:pPr>
        <w:rPr>
          <w:iCs/>
          <w:sz w:val="16"/>
          <w:szCs w:val="16"/>
          <w:lang w:val="fr-FR"/>
        </w:rPr>
      </w:pPr>
    </w:p>
    <w:sectPr w:rsidR="009A07EF" w:rsidRPr="009A07EF">
      <w:headerReference w:type="even" r:id="rId22"/>
      <w:headerReference w:type="default" r:id="rId23"/>
      <w:footerReference w:type="default" r:id="rId24"/>
      <w:pgSz w:w="11907" w:h="16840" w:code="9"/>
      <w:pgMar w:top="567" w:right="1134" w:bottom="993" w:left="1134" w:header="563"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37B793" w14:textId="77777777" w:rsidR="00F1791E" w:rsidRDefault="00F1791E">
      <w:r>
        <w:separator/>
      </w:r>
    </w:p>
  </w:endnote>
  <w:endnote w:type="continuationSeparator" w:id="0">
    <w:p w14:paraId="4E581B56" w14:textId="77777777" w:rsidR="00F1791E" w:rsidRDefault="00F17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AC34C" w14:textId="77777777" w:rsidR="00627CCC" w:rsidRDefault="00627CCC">
    <w:pPr>
      <w:jc w:val="center"/>
    </w:pPr>
    <w:r>
      <w:rPr>
        <w:rStyle w:val="PageNumber"/>
      </w:rPr>
      <w:fldChar w:fldCharType="begin"/>
    </w:r>
    <w:r>
      <w:rPr>
        <w:rStyle w:val="PageNumber"/>
      </w:rPr>
      <w:instrText xml:space="preserve"> PAGE </w:instrText>
    </w:r>
    <w:r>
      <w:rPr>
        <w:rStyle w:val="PageNumber"/>
      </w:rPr>
      <w:fldChar w:fldCharType="separate"/>
    </w:r>
    <w:r w:rsidR="00DF3A28">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E8B03E" w14:textId="77777777" w:rsidR="00F1791E" w:rsidRDefault="00F1791E">
      <w:r>
        <w:separator/>
      </w:r>
    </w:p>
  </w:footnote>
  <w:footnote w:type="continuationSeparator" w:id="0">
    <w:p w14:paraId="5F2310D6" w14:textId="77777777" w:rsidR="00F1791E" w:rsidRDefault="00F179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03612" w14:textId="77777777" w:rsidR="00627CCC" w:rsidRDefault="00627CCC"/>
  <w:p w14:paraId="4DE72907" w14:textId="77777777" w:rsidR="00627CCC" w:rsidRDefault="00627CCC"/>
  <w:p w14:paraId="381DDF3D" w14:textId="77777777" w:rsidR="00627CCC" w:rsidRDefault="00627CCC"/>
  <w:p w14:paraId="6D09FE00" w14:textId="77777777" w:rsidR="00627CCC" w:rsidRDefault="00627CCC"/>
  <w:p w14:paraId="336233D9" w14:textId="77777777" w:rsidR="00627CCC" w:rsidRDefault="00627CCC"/>
  <w:p w14:paraId="596BCA65" w14:textId="77777777" w:rsidR="00627CCC" w:rsidRDefault="00627CC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14CB9" w14:textId="19AE15A6" w:rsidR="00627CCC" w:rsidRPr="00DF3A28" w:rsidRDefault="0057489E" w:rsidP="00DF3A28">
    <w:pPr>
      <w:pStyle w:val="Header"/>
      <w:rPr>
        <w:lang w:val="fr-FR"/>
      </w:rPr>
    </w:pPr>
    <w:r w:rsidRPr="00DF3A28">
      <w:rPr>
        <w:lang w:val="fr-FR"/>
      </w:rPr>
      <w:t>TUL</w:t>
    </w:r>
    <w:r w:rsidR="001A1C29" w:rsidRPr="00DF3A28">
      <w:rPr>
        <w:lang w:val="fr-FR"/>
      </w:rPr>
      <w:t>003</w:t>
    </w:r>
    <w:r w:rsidR="00627CCC" w:rsidRPr="00DF3A28">
      <w:rPr>
        <w:lang w:val="fr-FR"/>
      </w:rPr>
      <w:t xml:space="preserve"> / </w:t>
    </w:r>
    <w:r w:rsidR="00DF3A28" w:rsidRPr="00DF3A28">
      <w:rPr>
        <w:lang w:val="fr-FR"/>
      </w:rPr>
      <w:t>Fructueuse conclusion pour le projet Européen TULIPP, d’une durée de trois ans, pour le traitement d’images embarquées et les applications de vision.</w:t>
    </w:r>
  </w:p>
  <w:p w14:paraId="0CF90E28" w14:textId="77777777" w:rsidR="00627CCC" w:rsidRPr="00DF3A28" w:rsidRDefault="00627CCC">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43750"/>
    <w:multiLevelType w:val="singleLevel"/>
    <w:tmpl w:val="4936F8CE"/>
    <w:lvl w:ilvl="0">
      <w:numFmt w:val="bullet"/>
      <w:lvlText w:val="-"/>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648"/>
    <w:rsid w:val="0000697F"/>
    <w:rsid w:val="00013350"/>
    <w:rsid w:val="00030AEC"/>
    <w:rsid w:val="000404CC"/>
    <w:rsid w:val="00063D50"/>
    <w:rsid w:val="00082769"/>
    <w:rsid w:val="00091E5A"/>
    <w:rsid w:val="00096C58"/>
    <w:rsid w:val="000E2EA5"/>
    <w:rsid w:val="000F0E8D"/>
    <w:rsid w:val="001334FE"/>
    <w:rsid w:val="001567FE"/>
    <w:rsid w:val="00174B52"/>
    <w:rsid w:val="001A03D4"/>
    <w:rsid w:val="001A1C29"/>
    <w:rsid w:val="001B3F06"/>
    <w:rsid w:val="001C715A"/>
    <w:rsid w:val="001D4816"/>
    <w:rsid w:val="001F64CA"/>
    <w:rsid w:val="00203E46"/>
    <w:rsid w:val="002526C5"/>
    <w:rsid w:val="002554CA"/>
    <w:rsid w:val="002B3EEA"/>
    <w:rsid w:val="002E25F9"/>
    <w:rsid w:val="002F07D6"/>
    <w:rsid w:val="00346003"/>
    <w:rsid w:val="00350CF1"/>
    <w:rsid w:val="00352A96"/>
    <w:rsid w:val="00354140"/>
    <w:rsid w:val="0035616F"/>
    <w:rsid w:val="003628F7"/>
    <w:rsid w:val="00362DE7"/>
    <w:rsid w:val="00375EC8"/>
    <w:rsid w:val="00380C67"/>
    <w:rsid w:val="00390C4C"/>
    <w:rsid w:val="003971EB"/>
    <w:rsid w:val="003A523E"/>
    <w:rsid w:val="003C2CE8"/>
    <w:rsid w:val="003E18C3"/>
    <w:rsid w:val="003F3F50"/>
    <w:rsid w:val="00401088"/>
    <w:rsid w:val="00405178"/>
    <w:rsid w:val="00417220"/>
    <w:rsid w:val="00424F57"/>
    <w:rsid w:val="00432C7D"/>
    <w:rsid w:val="0048319C"/>
    <w:rsid w:val="00497A65"/>
    <w:rsid w:val="00497FDE"/>
    <w:rsid w:val="004A0FC1"/>
    <w:rsid w:val="004A1477"/>
    <w:rsid w:val="004C7C3B"/>
    <w:rsid w:val="004D7B36"/>
    <w:rsid w:val="004E1A3A"/>
    <w:rsid w:val="004E3044"/>
    <w:rsid w:val="004F5169"/>
    <w:rsid w:val="004F68DC"/>
    <w:rsid w:val="0050088E"/>
    <w:rsid w:val="0050297F"/>
    <w:rsid w:val="00514719"/>
    <w:rsid w:val="00523ACE"/>
    <w:rsid w:val="00531E17"/>
    <w:rsid w:val="00541805"/>
    <w:rsid w:val="0055434B"/>
    <w:rsid w:val="0056579E"/>
    <w:rsid w:val="00566CBE"/>
    <w:rsid w:val="0057489E"/>
    <w:rsid w:val="005817C0"/>
    <w:rsid w:val="005920E6"/>
    <w:rsid w:val="005B00F9"/>
    <w:rsid w:val="005B4D4E"/>
    <w:rsid w:val="005B66C7"/>
    <w:rsid w:val="005E01A7"/>
    <w:rsid w:val="005E71E5"/>
    <w:rsid w:val="005F111B"/>
    <w:rsid w:val="005F1FA1"/>
    <w:rsid w:val="005F7205"/>
    <w:rsid w:val="00627CCC"/>
    <w:rsid w:val="00641515"/>
    <w:rsid w:val="0065640F"/>
    <w:rsid w:val="006609A0"/>
    <w:rsid w:val="006819BB"/>
    <w:rsid w:val="006A046B"/>
    <w:rsid w:val="006B3E60"/>
    <w:rsid w:val="006B5BC9"/>
    <w:rsid w:val="006B5CD2"/>
    <w:rsid w:val="006B6CA0"/>
    <w:rsid w:val="006C16A9"/>
    <w:rsid w:val="006D30CA"/>
    <w:rsid w:val="006D3D63"/>
    <w:rsid w:val="006D56F6"/>
    <w:rsid w:val="006D7CE3"/>
    <w:rsid w:val="006E5510"/>
    <w:rsid w:val="00702DBA"/>
    <w:rsid w:val="00704579"/>
    <w:rsid w:val="00710FC6"/>
    <w:rsid w:val="00727093"/>
    <w:rsid w:val="00740BFA"/>
    <w:rsid w:val="007433B4"/>
    <w:rsid w:val="00762B0B"/>
    <w:rsid w:val="00762DB3"/>
    <w:rsid w:val="00772631"/>
    <w:rsid w:val="00791462"/>
    <w:rsid w:val="007B06FD"/>
    <w:rsid w:val="007C32C7"/>
    <w:rsid w:val="007D02F9"/>
    <w:rsid w:val="007E0713"/>
    <w:rsid w:val="007F02C7"/>
    <w:rsid w:val="00835404"/>
    <w:rsid w:val="008418EE"/>
    <w:rsid w:val="00845F6F"/>
    <w:rsid w:val="00865FB0"/>
    <w:rsid w:val="00893CC4"/>
    <w:rsid w:val="008C1125"/>
    <w:rsid w:val="008C31E1"/>
    <w:rsid w:val="00910086"/>
    <w:rsid w:val="00914AD3"/>
    <w:rsid w:val="00924FD9"/>
    <w:rsid w:val="00925C2B"/>
    <w:rsid w:val="00926650"/>
    <w:rsid w:val="009274FD"/>
    <w:rsid w:val="0093121F"/>
    <w:rsid w:val="00955288"/>
    <w:rsid w:val="0096105D"/>
    <w:rsid w:val="00972922"/>
    <w:rsid w:val="009818B0"/>
    <w:rsid w:val="0099189C"/>
    <w:rsid w:val="00992754"/>
    <w:rsid w:val="009A07EF"/>
    <w:rsid w:val="009A6B2B"/>
    <w:rsid w:val="009B13E5"/>
    <w:rsid w:val="009B14ED"/>
    <w:rsid w:val="009D5464"/>
    <w:rsid w:val="009F58F1"/>
    <w:rsid w:val="009F67BC"/>
    <w:rsid w:val="00A1275C"/>
    <w:rsid w:val="00A16D08"/>
    <w:rsid w:val="00A16FD4"/>
    <w:rsid w:val="00A4343D"/>
    <w:rsid w:val="00A65622"/>
    <w:rsid w:val="00A7702C"/>
    <w:rsid w:val="00AA7C2A"/>
    <w:rsid w:val="00B01EBF"/>
    <w:rsid w:val="00B10D84"/>
    <w:rsid w:val="00B32CBE"/>
    <w:rsid w:val="00B35365"/>
    <w:rsid w:val="00B44147"/>
    <w:rsid w:val="00B4759C"/>
    <w:rsid w:val="00B56FA4"/>
    <w:rsid w:val="00B6286B"/>
    <w:rsid w:val="00B6414C"/>
    <w:rsid w:val="00B65CC9"/>
    <w:rsid w:val="00B94504"/>
    <w:rsid w:val="00B950F7"/>
    <w:rsid w:val="00B9535A"/>
    <w:rsid w:val="00BA4A9D"/>
    <w:rsid w:val="00BB2FAB"/>
    <w:rsid w:val="00BB4036"/>
    <w:rsid w:val="00BC7EF2"/>
    <w:rsid w:val="00BD601D"/>
    <w:rsid w:val="00C06903"/>
    <w:rsid w:val="00C15838"/>
    <w:rsid w:val="00C2513E"/>
    <w:rsid w:val="00C30E67"/>
    <w:rsid w:val="00C31EA7"/>
    <w:rsid w:val="00C32BE6"/>
    <w:rsid w:val="00C45FF9"/>
    <w:rsid w:val="00C552A2"/>
    <w:rsid w:val="00C84897"/>
    <w:rsid w:val="00C85A34"/>
    <w:rsid w:val="00CA13EE"/>
    <w:rsid w:val="00CA77B6"/>
    <w:rsid w:val="00CB5A77"/>
    <w:rsid w:val="00CC3DCC"/>
    <w:rsid w:val="00CE4416"/>
    <w:rsid w:val="00D13759"/>
    <w:rsid w:val="00D14E29"/>
    <w:rsid w:val="00D16F51"/>
    <w:rsid w:val="00D22A7E"/>
    <w:rsid w:val="00D43527"/>
    <w:rsid w:val="00D4798A"/>
    <w:rsid w:val="00D6169B"/>
    <w:rsid w:val="00D7280A"/>
    <w:rsid w:val="00D85648"/>
    <w:rsid w:val="00D909CF"/>
    <w:rsid w:val="00D93EB7"/>
    <w:rsid w:val="00D960DC"/>
    <w:rsid w:val="00DA7F91"/>
    <w:rsid w:val="00DC514E"/>
    <w:rsid w:val="00DD7478"/>
    <w:rsid w:val="00DE205D"/>
    <w:rsid w:val="00DF3A28"/>
    <w:rsid w:val="00E04FFA"/>
    <w:rsid w:val="00E2684C"/>
    <w:rsid w:val="00E34E19"/>
    <w:rsid w:val="00E40AFC"/>
    <w:rsid w:val="00E50452"/>
    <w:rsid w:val="00E5421D"/>
    <w:rsid w:val="00E713D9"/>
    <w:rsid w:val="00E920A0"/>
    <w:rsid w:val="00E92A2A"/>
    <w:rsid w:val="00EA3F0D"/>
    <w:rsid w:val="00ED4C97"/>
    <w:rsid w:val="00EE482D"/>
    <w:rsid w:val="00F11709"/>
    <w:rsid w:val="00F164AF"/>
    <w:rsid w:val="00F1791E"/>
    <w:rsid w:val="00F31BE2"/>
    <w:rsid w:val="00F33759"/>
    <w:rsid w:val="00F6034C"/>
    <w:rsid w:val="00F64D76"/>
    <w:rsid w:val="00F73581"/>
    <w:rsid w:val="00FB0625"/>
    <w:rsid w:val="00FB1021"/>
    <w:rsid w:val="00FB1051"/>
    <w:rsid w:val="00FC4B89"/>
    <w:rsid w:val="00FE0402"/>
    <w:rsid w:val="00FE48AA"/>
    <w:rsid w:val="00FE5A6B"/>
    <w:rsid w:val="00FF139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708DC9C"/>
  <w15:docId w15:val="{7B9DCF3C-A3EF-42EB-A182-59F21A6C7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Arial" w:hAnsi="Arial"/>
      <w:lang w:eastAsia="en-US"/>
    </w:rPr>
  </w:style>
  <w:style w:type="paragraph" w:styleId="Heading1">
    <w:name w:val="heading 1"/>
    <w:basedOn w:val="Normal"/>
    <w:next w:val="Normal"/>
    <w:qFormat/>
    <w:pPr>
      <w:keepNext/>
      <w:outlineLvl w:val="0"/>
    </w:pPr>
    <w:rPr>
      <w:b/>
      <w:sz w:val="36"/>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i/>
      <w:u w:val="single"/>
    </w:rPr>
  </w:style>
  <w:style w:type="paragraph" w:styleId="Footer">
    <w:name w:val="footer"/>
    <w:basedOn w:val="Normal"/>
    <w:pPr>
      <w:tabs>
        <w:tab w:val="center" w:pos="4153"/>
        <w:tab w:val="right" w:pos="8306"/>
      </w:tabs>
    </w:pPr>
  </w:style>
  <w:style w:type="character" w:styleId="PageNumber">
    <w:name w:val="page number"/>
    <w:rPr>
      <w:rFonts w:ascii="Arial" w:hAnsi="Arial"/>
      <w:dstrike w:val="0"/>
      <w:color w:val="auto"/>
      <w:sz w:val="20"/>
      <w:vertAlign w:val="baseline"/>
    </w:rPr>
  </w:style>
  <w:style w:type="character" w:styleId="Hyperlink">
    <w:name w:val="Hyperlink"/>
    <w:rPr>
      <w:rFonts w:ascii="Arial" w:hAnsi="Arial"/>
      <w:dstrike w:val="0"/>
      <w:color w:val="auto"/>
      <w:sz w:val="20"/>
      <w:u w:val="single"/>
      <w:bdr w:val="none" w:sz="0" w:space="0" w:color="auto"/>
      <w:vertAlign w:val="baseline"/>
    </w:rPr>
  </w:style>
  <w:style w:type="character" w:styleId="FollowedHyperlink">
    <w:name w:val="FollowedHyperlink"/>
    <w:rsid w:val="0050088E"/>
    <w:rPr>
      <w:rFonts w:ascii="Times New Roman" w:hAnsi="Times New Roman"/>
      <w:dstrike w:val="0"/>
      <w:sz w:val="20"/>
      <w:u w:val="single"/>
      <w:vertAlign w:val="baseline"/>
    </w:rPr>
  </w:style>
  <w:style w:type="paragraph" w:customStyle="1" w:styleId="BoilerPlate">
    <w:name w:val="Boiler Plate"/>
    <w:basedOn w:val="Normal"/>
    <w:rsid w:val="00ED4C97"/>
    <w:pPr>
      <w:widowControl/>
      <w:spacing w:after="240"/>
    </w:pPr>
    <w:rPr>
      <w:rFonts w:eastAsia="Times"/>
      <w:lang w:eastAsia="en-GB"/>
    </w:rPr>
  </w:style>
  <w:style w:type="paragraph" w:styleId="NormalWeb">
    <w:name w:val="Normal (Web)"/>
    <w:basedOn w:val="Normal"/>
    <w:rsid w:val="00F164AF"/>
    <w:pPr>
      <w:widowControl/>
      <w:spacing w:before="100" w:beforeAutospacing="1" w:after="100" w:afterAutospacing="1"/>
    </w:pPr>
    <w:rPr>
      <w:rFonts w:ascii="Verdana" w:hAnsi="Verdana"/>
      <w:color w:val="000000"/>
      <w:lang w:val="en-US"/>
    </w:rPr>
  </w:style>
  <w:style w:type="paragraph" w:customStyle="1" w:styleId="textbd">
    <w:name w:val="textbd"/>
    <w:basedOn w:val="Normal"/>
    <w:rsid w:val="00F164AF"/>
    <w:pPr>
      <w:widowControl/>
      <w:spacing w:before="100" w:beforeAutospacing="1" w:after="100" w:afterAutospacing="1"/>
    </w:pPr>
    <w:rPr>
      <w:rFonts w:ascii="Verdana" w:hAnsi="Verdana"/>
      <w:b/>
      <w:bCs/>
      <w:color w:val="000000"/>
      <w:lang w:val="en-US"/>
    </w:rPr>
  </w:style>
  <w:style w:type="paragraph" w:styleId="BalloonText">
    <w:name w:val="Balloon Text"/>
    <w:basedOn w:val="Normal"/>
    <w:link w:val="BalloonTextChar"/>
    <w:semiHidden/>
    <w:unhideWhenUsed/>
    <w:rsid w:val="00D85648"/>
    <w:rPr>
      <w:rFonts w:ascii="Segoe UI" w:hAnsi="Segoe UI" w:cs="Segoe UI"/>
      <w:sz w:val="18"/>
      <w:szCs w:val="18"/>
    </w:rPr>
  </w:style>
  <w:style w:type="character" w:customStyle="1" w:styleId="BalloonTextChar">
    <w:name w:val="Balloon Text Char"/>
    <w:basedOn w:val="DefaultParagraphFont"/>
    <w:link w:val="BalloonText"/>
    <w:semiHidden/>
    <w:rsid w:val="00D85648"/>
    <w:rPr>
      <w:rFonts w:ascii="Segoe UI" w:hAnsi="Segoe UI" w:cs="Segoe UI"/>
      <w:sz w:val="18"/>
      <w:szCs w:val="18"/>
      <w:lang w:eastAsia="en-US"/>
    </w:rPr>
  </w:style>
  <w:style w:type="character" w:styleId="Strong">
    <w:name w:val="Strong"/>
    <w:basedOn w:val="DefaultParagraphFont"/>
    <w:uiPriority w:val="22"/>
    <w:qFormat/>
    <w:rsid w:val="001A1C29"/>
    <w:rPr>
      <w:b/>
      <w:bCs/>
    </w:rPr>
  </w:style>
  <w:style w:type="paragraph" w:styleId="Caption">
    <w:name w:val="caption"/>
    <w:basedOn w:val="Normal"/>
    <w:next w:val="Normal"/>
    <w:unhideWhenUsed/>
    <w:qFormat/>
    <w:rsid w:val="002526C5"/>
    <w:pPr>
      <w:spacing w:after="200"/>
    </w:pPr>
    <w:rPr>
      <w:i/>
      <w:iCs/>
      <w:color w:val="44546A" w:themeColor="text2"/>
      <w:sz w:val="18"/>
      <w:szCs w:val="18"/>
    </w:rPr>
  </w:style>
  <w:style w:type="character" w:styleId="CommentReference">
    <w:name w:val="annotation reference"/>
    <w:basedOn w:val="DefaultParagraphFont"/>
    <w:rsid w:val="003628F7"/>
    <w:rPr>
      <w:sz w:val="16"/>
      <w:szCs w:val="16"/>
    </w:rPr>
  </w:style>
  <w:style w:type="paragraph" w:styleId="CommentText">
    <w:name w:val="annotation text"/>
    <w:basedOn w:val="Normal"/>
    <w:link w:val="CommentTextChar"/>
    <w:rsid w:val="003628F7"/>
  </w:style>
  <w:style w:type="character" w:customStyle="1" w:styleId="CommentTextChar">
    <w:name w:val="Comment Text Char"/>
    <w:basedOn w:val="DefaultParagraphFont"/>
    <w:link w:val="CommentText"/>
    <w:rsid w:val="003628F7"/>
    <w:rPr>
      <w:rFonts w:ascii="Arial" w:hAnsi="Arial"/>
      <w:lang w:eastAsia="en-US"/>
    </w:rPr>
  </w:style>
  <w:style w:type="paragraph" w:styleId="CommentSubject">
    <w:name w:val="annotation subject"/>
    <w:basedOn w:val="CommentText"/>
    <w:next w:val="CommentText"/>
    <w:link w:val="CommentSubjectChar"/>
    <w:rsid w:val="003628F7"/>
    <w:rPr>
      <w:b/>
      <w:bCs/>
    </w:rPr>
  </w:style>
  <w:style w:type="character" w:customStyle="1" w:styleId="CommentSubjectChar">
    <w:name w:val="Comment Subject Char"/>
    <w:basedOn w:val="CommentTextChar"/>
    <w:link w:val="CommentSubject"/>
    <w:rsid w:val="003628F7"/>
    <w:rPr>
      <w:rFonts w:ascii="Arial" w:hAnsi="Arial"/>
      <w:b/>
      <w:bCs/>
      <w:lang w:eastAsia="en-US"/>
    </w:rPr>
  </w:style>
  <w:style w:type="table" w:styleId="TableGrid">
    <w:name w:val="Table Grid"/>
    <w:basedOn w:val="TableNormal"/>
    <w:rsid w:val="002B3E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D960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en-GB"/>
    </w:rPr>
  </w:style>
  <w:style w:type="character" w:customStyle="1" w:styleId="HTMLPreformattedChar">
    <w:name w:val="HTML Preformatted Char"/>
    <w:basedOn w:val="DefaultParagraphFont"/>
    <w:link w:val="HTMLPreformatted"/>
    <w:uiPriority w:val="99"/>
    <w:rsid w:val="00D960DC"/>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424239">
      <w:bodyDiv w:val="1"/>
      <w:marLeft w:val="0"/>
      <w:marRight w:val="0"/>
      <w:marTop w:val="0"/>
      <w:marBottom w:val="0"/>
      <w:divBdr>
        <w:top w:val="none" w:sz="0" w:space="0" w:color="auto"/>
        <w:left w:val="none" w:sz="0" w:space="0" w:color="auto"/>
        <w:bottom w:val="none" w:sz="0" w:space="0" w:color="auto"/>
        <w:right w:val="none" w:sz="0" w:space="0" w:color="auto"/>
      </w:divBdr>
    </w:div>
    <w:div w:id="246501198">
      <w:bodyDiv w:val="1"/>
      <w:marLeft w:val="0"/>
      <w:marRight w:val="0"/>
      <w:marTop w:val="0"/>
      <w:marBottom w:val="0"/>
      <w:divBdr>
        <w:top w:val="none" w:sz="0" w:space="0" w:color="auto"/>
        <w:left w:val="none" w:sz="0" w:space="0" w:color="auto"/>
        <w:bottom w:val="none" w:sz="0" w:space="0" w:color="auto"/>
        <w:right w:val="none" w:sz="0" w:space="0" w:color="auto"/>
      </w:divBdr>
    </w:div>
    <w:div w:id="287585348">
      <w:bodyDiv w:val="1"/>
      <w:marLeft w:val="0"/>
      <w:marRight w:val="0"/>
      <w:marTop w:val="0"/>
      <w:marBottom w:val="0"/>
      <w:divBdr>
        <w:top w:val="none" w:sz="0" w:space="0" w:color="auto"/>
        <w:left w:val="none" w:sz="0" w:space="0" w:color="auto"/>
        <w:bottom w:val="none" w:sz="0" w:space="0" w:color="auto"/>
        <w:right w:val="none" w:sz="0" w:space="0" w:color="auto"/>
      </w:divBdr>
    </w:div>
    <w:div w:id="754595084">
      <w:bodyDiv w:val="1"/>
      <w:marLeft w:val="0"/>
      <w:marRight w:val="0"/>
      <w:marTop w:val="0"/>
      <w:marBottom w:val="0"/>
      <w:divBdr>
        <w:top w:val="none" w:sz="0" w:space="0" w:color="auto"/>
        <w:left w:val="none" w:sz="0" w:space="0" w:color="auto"/>
        <w:bottom w:val="none" w:sz="0" w:space="0" w:color="auto"/>
        <w:right w:val="none" w:sz="0" w:space="0" w:color="auto"/>
      </w:divBdr>
      <w:divsChild>
        <w:div w:id="322126584">
          <w:marLeft w:val="0"/>
          <w:marRight w:val="0"/>
          <w:marTop w:val="0"/>
          <w:marBottom w:val="0"/>
          <w:divBdr>
            <w:top w:val="none" w:sz="0" w:space="0" w:color="auto"/>
            <w:left w:val="none" w:sz="0" w:space="0" w:color="auto"/>
            <w:bottom w:val="none" w:sz="0" w:space="0" w:color="auto"/>
            <w:right w:val="none" w:sz="0" w:space="0" w:color="auto"/>
          </w:divBdr>
          <w:divsChild>
            <w:div w:id="2062439327">
              <w:marLeft w:val="0"/>
              <w:marRight w:val="0"/>
              <w:marTop w:val="0"/>
              <w:marBottom w:val="0"/>
              <w:divBdr>
                <w:top w:val="none" w:sz="0" w:space="0" w:color="auto"/>
                <w:left w:val="none" w:sz="0" w:space="0" w:color="auto"/>
                <w:bottom w:val="none" w:sz="0" w:space="0" w:color="auto"/>
                <w:right w:val="none" w:sz="0" w:space="0" w:color="auto"/>
              </w:divBdr>
              <w:divsChild>
                <w:div w:id="1712725461">
                  <w:marLeft w:val="0"/>
                  <w:marRight w:val="0"/>
                  <w:marTop w:val="0"/>
                  <w:marBottom w:val="0"/>
                  <w:divBdr>
                    <w:top w:val="none" w:sz="0" w:space="0" w:color="auto"/>
                    <w:left w:val="none" w:sz="0" w:space="0" w:color="auto"/>
                    <w:bottom w:val="none" w:sz="0" w:space="0" w:color="auto"/>
                    <w:right w:val="none" w:sz="0" w:space="0" w:color="auto"/>
                  </w:divBdr>
                  <w:divsChild>
                    <w:div w:id="202285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454885">
      <w:bodyDiv w:val="1"/>
      <w:marLeft w:val="0"/>
      <w:marRight w:val="0"/>
      <w:marTop w:val="0"/>
      <w:marBottom w:val="0"/>
      <w:divBdr>
        <w:top w:val="none" w:sz="0" w:space="0" w:color="auto"/>
        <w:left w:val="none" w:sz="0" w:space="0" w:color="auto"/>
        <w:bottom w:val="none" w:sz="0" w:space="0" w:color="auto"/>
        <w:right w:val="none" w:sz="0" w:space="0" w:color="auto"/>
      </w:divBdr>
    </w:div>
    <w:div w:id="1127508808">
      <w:bodyDiv w:val="1"/>
      <w:marLeft w:val="0"/>
      <w:marRight w:val="0"/>
      <w:marTop w:val="0"/>
      <w:marBottom w:val="0"/>
      <w:divBdr>
        <w:top w:val="none" w:sz="0" w:space="0" w:color="auto"/>
        <w:left w:val="none" w:sz="0" w:space="0" w:color="auto"/>
        <w:bottom w:val="none" w:sz="0" w:space="0" w:color="auto"/>
        <w:right w:val="none" w:sz="0" w:space="0" w:color="auto"/>
      </w:divBdr>
    </w:div>
    <w:div w:id="1635912982">
      <w:bodyDiv w:val="1"/>
      <w:marLeft w:val="0"/>
      <w:marRight w:val="0"/>
      <w:marTop w:val="0"/>
      <w:marBottom w:val="0"/>
      <w:divBdr>
        <w:top w:val="none" w:sz="0" w:space="0" w:color="auto"/>
        <w:left w:val="none" w:sz="0" w:space="0" w:color="auto"/>
        <w:bottom w:val="none" w:sz="0" w:space="0" w:color="auto"/>
        <w:right w:val="none" w:sz="0" w:space="0" w:color="auto"/>
      </w:divBdr>
      <w:divsChild>
        <w:div w:id="1579750924">
          <w:marLeft w:val="0"/>
          <w:marRight w:val="0"/>
          <w:marTop w:val="0"/>
          <w:marBottom w:val="0"/>
          <w:divBdr>
            <w:top w:val="none" w:sz="0" w:space="0" w:color="auto"/>
            <w:left w:val="none" w:sz="0" w:space="0" w:color="auto"/>
            <w:bottom w:val="none" w:sz="0" w:space="0" w:color="auto"/>
            <w:right w:val="none" w:sz="0" w:space="0" w:color="auto"/>
          </w:divBdr>
        </w:div>
      </w:divsChild>
    </w:div>
    <w:div w:id="1965425708">
      <w:bodyDiv w:val="1"/>
      <w:marLeft w:val="0"/>
      <w:marRight w:val="0"/>
      <w:marTop w:val="0"/>
      <w:marBottom w:val="0"/>
      <w:divBdr>
        <w:top w:val="none" w:sz="0" w:space="0" w:color="auto"/>
        <w:left w:val="none" w:sz="0" w:space="0" w:color="auto"/>
        <w:bottom w:val="none" w:sz="0" w:space="0" w:color="auto"/>
        <w:right w:val="none" w:sz="0" w:space="0" w:color="auto"/>
      </w:divBdr>
    </w:div>
    <w:div w:id="1974405952">
      <w:bodyDiv w:val="1"/>
      <w:marLeft w:val="0"/>
      <w:marRight w:val="0"/>
      <w:marTop w:val="0"/>
      <w:marBottom w:val="0"/>
      <w:divBdr>
        <w:top w:val="none" w:sz="0" w:space="0" w:color="auto"/>
        <w:left w:val="none" w:sz="0" w:space="0" w:color="auto"/>
        <w:bottom w:val="none" w:sz="0" w:space="0" w:color="auto"/>
        <w:right w:val="none" w:sz="0" w:space="0" w:color="auto"/>
      </w:divBdr>
    </w:div>
    <w:div w:id="2144227632">
      <w:bodyDiv w:val="1"/>
      <w:marLeft w:val="0"/>
      <w:marRight w:val="0"/>
      <w:marTop w:val="0"/>
      <w:marBottom w:val="0"/>
      <w:divBdr>
        <w:top w:val="none" w:sz="0" w:space="0" w:color="auto"/>
        <w:left w:val="none" w:sz="0" w:space="0" w:color="auto"/>
        <w:bottom w:val="none" w:sz="0" w:space="0" w:color="auto"/>
        <w:right w:val="none" w:sz="0" w:space="0" w:color="auto"/>
      </w:divBdr>
      <w:divsChild>
        <w:div w:id="704016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efficient-innovation.fr" TargetMode="External"/><Relationship Id="rId18" Type="http://schemas.openxmlformats.org/officeDocument/2006/relationships/hyperlink" Target="file:///C:\Users\Keith\AppData\Local\Microsoft\Windows\INetCache\Content.Outlook\R9YUBSF5\www.synective.s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humbugpr.com" TargetMode="External"/><Relationship Id="rId7" Type="http://schemas.openxmlformats.org/officeDocument/2006/relationships/endnotes" Target="endnotes.xml"/><Relationship Id="rId12" Type="http://schemas.openxmlformats.org/officeDocument/2006/relationships/hyperlink" Target="http://www.thalesgroup." TargetMode="External"/><Relationship Id="rId17" Type="http://schemas.openxmlformats.org/officeDocument/2006/relationships/hyperlink" Target="file:///C:\Users\Keith\AppData\Local\Microsoft\Windows\INetCache\Content.Outlook\R9YUBSF5\www.sundance.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tnu.no" TargetMode="External"/><Relationship Id="rId20" Type="http://schemas.openxmlformats.org/officeDocument/2006/relationships/hyperlink" Target="mailto:keith.mason@humbugpr.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hipperos.com" TargetMode="External"/><Relationship Id="rId23" Type="http://schemas.openxmlformats.org/officeDocument/2006/relationships/header" Target="header2.xml"/><Relationship Id="rId10" Type="http://schemas.openxmlformats.org/officeDocument/2006/relationships/image" Target="media/image3.jpg"/><Relationship Id="rId19" Type="http://schemas.openxmlformats.org/officeDocument/2006/relationships/hyperlink" Target="mailto:philippe.millet@thalesgroup.com"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www.iosb.fraunhofer.de" TargetMode="External"/><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ith\Documents\Custom%20Office%20Templates\Press%20Releases\Tulipp%20UK%20Press%20Press%20Relea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C98390-3A6C-4883-B471-EB7F6FA02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Tulipp UK Press Press Release.dotx</Template>
  <TotalTime>18</TotalTime>
  <Pages>3</Pages>
  <Words>1528</Words>
  <Characters>9420</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TULIPP Press Release UK</vt:lpstr>
    </vt:vector>
  </TitlesOfParts>
  <Company>Humbug Public Relations</Company>
  <LinksUpToDate>false</LinksUpToDate>
  <CharactersWithSpaces>10927</CharactersWithSpaces>
  <SharedDoc>false</SharedDoc>
  <HLinks>
    <vt:vector size="30" baseType="variant">
      <vt:variant>
        <vt:i4>3276863</vt:i4>
      </vt:variant>
      <vt:variant>
        <vt:i4>12</vt:i4>
      </vt:variant>
      <vt:variant>
        <vt:i4>0</vt:i4>
      </vt:variant>
      <vt:variant>
        <vt:i4>5</vt:i4>
      </vt:variant>
      <vt:variant>
        <vt:lpwstr>http://www.humbugpr.com/portal</vt:lpwstr>
      </vt:variant>
      <vt:variant>
        <vt:lpwstr/>
      </vt:variant>
      <vt:variant>
        <vt:i4>4063324</vt:i4>
      </vt:variant>
      <vt:variant>
        <vt:i4>9</vt:i4>
      </vt:variant>
      <vt:variant>
        <vt:i4>0</vt:i4>
      </vt:variant>
      <vt:variant>
        <vt:i4>5</vt:i4>
      </vt:variant>
      <vt:variant>
        <vt:lpwstr>mailto:ann.williams@humbugpr.com</vt:lpwstr>
      </vt:variant>
      <vt:variant>
        <vt:lpwstr/>
      </vt:variant>
      <vt:variant>
        <vt:i4>3735642</vt:i4>
      </vt:variant>
      <vt:variant>
        <vt:i4>6</vt:i4>
      </vt:variant>
      <vt:variant>
        <vt:i4>0</vt:i4>
      </vt:variant>
      <vt:variant>
        <vt:i4>5</vt:i4>
      </vt:variant>
      <vt:variant>
        <vt:lpwstr>mailto:keith.mason@humbugpr.com</vt:lpwstr>
      </vt:variant>
      <vt:variant>
        <vt:lpwstr/>
      </vt:variant>
      <vt:variant>
        <vt:i4>1572984</vt:i4>
      </vt:variant>
      <vt:variant>
        <vt:i4>3</vt:i4>
      </vt:variant>
      <vt:variant>
        <vt:i4>0</vt:i4>
      </vt:variant>
      <vt:variant>
        <vt:i4>5</vt:i4>
      </vt:variant>
      <vt:variant>
        <vt:lpwstr>mailto:flemming.c@sundance.com</vt:lpwstr>
      </vt:variant>
      <vt:variant>
        <vt:lpwstr/>
      </vt:variant>
      <vt:variant>
        <vt:i4>5898308</vt:i4>
      </vt:variant>
      <vt:variant>
        <vt:i4>0</vt:i4>
      </vt:variant>
      <vt:variant>
        <vt:i4>0</vt:i4>
      </vt:variant>
      <vt:variant>
        <vt:i4>5</vt:i4>
      </vt:variant>
      <vt:variant>
        <vt:lpwstr>http://www.sundance.com/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TULIPP Press Release UK</dc:title>
  <dc:subject/>
  <dc:creator>Keith</dc:creator>
  <cp:keywords/>
  <cp:lastModifiedBy>Keith Mason</cp:lastModifiedBy>
  <cp:revision>4</cp:revision>
  <cp:lastPrinted>2000-04-13T10:02:00Z</cp:lastPrinted>
  <dcterms:created xsi:type="dcterms:W3CDTF">2019-07-09T21:51:00Z</dcterms:created>
  <dcterms:modified xsi:type="dcterms:W3CDTF">2019-07-10T12:29:00Z</dcterms:modified>
</cp:coreProperties>
</file>